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2AB" w:rsidRDefault="002F6482" w:rsidP="00E16FC6">
      <w:pPr>
        <w:pStyle w:val="Heading3"/>
      </w:pPr>
      <w:bookmarkStart w:id="0" w:name="_Toc464642051"/>
      <w:bookmarkStart w:id="1" w:name="_Toc443556232"/>
      <w:r>
        <w:t>Document p</w:t>
      </w:r>
      <w:r w:rsidR="001F62AB">
        <w:t>urpose</w:t>
      </w:r>
      <w:bookmarkEnd w:id="0"/>
    </w:p>
    <w:p w:rsidR="00CD51FD" w:rsidRDefault="002D1476" w:rsidP="002D1476">
      <w:r>
        <w:t xml:space="preserve">This document outlines requirements </w:t>
      </w:r>
      <w:r w:rsidR="002F6482">
        <w:t xml:space="preserve">for, </w:t>
      </w:r>
      <w:r>
        <w:t>and response to</w:t>
      </w:r>
      <w:r w:rsidR="002F6482">
        <w:t>,</w:t>
      </w:r>
      <w:r>
        <w:t xml:space="preserve"> an engagement of </w:t>
      </w:r>
      <w:r w:rsidR="002F6482">
        <w:t xml:space="preserve">the </w:t>
      </w:r>
      <w:proofErr w:type="spellStart"/>
      <w:r>
        <w:t>HealthShare</w:t>
      </w:r>
      <w:proofErr w:type="spellEnd"/>
      <w:r>
        <w:t xml:space="preserve"> Regional IS architecture capability.</w:t>
      </w:r>
    </w:p>
    <w:p w:rsidR="002D1476" w:rsidRDefault="002D1476" w:rsidP="002D1476"/>
    <w:p w:rsidR="008116DB" w:rsidRPr="002D1476" w:rsidRDefault="008116DB" w:rsidP="00E16FC6">
      <w:pPr>
        <w:pStyle w:val="Heading2"/>
      </w:pPr>
      <w:r>
        <w:t>Problem statement</w:t>
      </w:r>
    </w:p>
    <w:p w:rsidR="00F45525" w:rsidRDefault="0099239B" w:rsidP="003A3DE4">
      <w:r>
        <w:t>A</w:t>
      </w:r>
      <w:r w:rsidR="008D39E8">
        <w:t xml:space="preserve"> target state and roadmap for a Data, Business Intelligence and Analytics capability</w:t>
      </w:r>
      <w:r>
        <w:t xml:space="preserve"> is required to provide input to </w:t>
      </w:r>
      <w:r w:rsidR="008D39E8">
        <w:t>a business c</w:t>
      </w:r>
      <w:r w:rsidR="00272547">
        <w:t>ase to implement a first-</w:t>
      </w:r>
      <w:r w:rsidR="008D39E8">
        <w:t>phase capability implementation.</w:t>
      </w:r>
    </w:p>
    <w:p w:rsidR="008D39E8" w:rsidRDefault="008D39E8" w:rsidP="008D39E8">
      <w:r>
        <w:t xml:space="preserve">This paper focusses on business usage, functions and data sources </w:t>
      </w:r>
      <w:r w:rsidR="0099239B">
        <w:t>(</w:t>
      </w:r>
      <w:r>
        <w:t>rather than technology</w:t>
      </w:r>
      <w:r w:rsidR="00272547">
        <w:t xml:space="preserve"> and systems</w:t>
      </w:r>
      <w:r w:rsidR="0099239B">
        <w:t xml:space="preserve">), and </w:t>
      </w:r>
      <w:r>
        <w:t xml:space="preserve">is intended to be a guide for conversation between clinical and corporate stakeholders to </w:t>
      </w:r>
      <w:r w:rsidR="00272547">
        <w:t>shape</w:t>
      </w:r>
      <w:r>
        <w:t xml:space="preserve"> target state objectives and requirements.</w:t>
      </w:r>
    </w:p>
    <w:p w:rsidR="008D39E8" w:rsidRDefault="008D39E8" w:rsidP="003A3DE4"/>
    <w:p w:rsidR="006363B6" w:rsidRDefault="006363B6" w:rsidP="006363B6">
      <w:pPr>
        <w:pStyle w:val="Heading1"/>
      </w:pPr>
      <w:r>
        <w:t>Objectives</w:t>
      </w:r>
    </w:p>
    <w:bookmarkEnd w:id="1"/>
    <w:p w:rsidR="00F41D69" w:rsidRDefault="006363B6" w:rsidP="00F45525">
      <w:pPr>
        <w:pStyle w:val="Heading2"/>
      </w:pPr>
      <w:r>
        <w:t>High level s</w:t>
      </w:r>
      <w:r w:rsidR="008D39E8">
        <w:t xml:space="preserve">takeholder </w:t>
      </w:r>
      <w:r>
        <w:t>o</w:t>
      </w:r>
      <w:r w:rsidR="008D39E8">
        <w:t>bjectives</w:t>
      </w:r>
    </w:p>
    <w:p w:rsidR="005549BD" w:rsidRDefault="0099239B" w:rsidP="006F44ED">
      <w:r>
        <w:t xml:space="preserve">Below are high </w:t>
      </w:r>
      <w:r w:rsidR="008D39E8">
        <w:t>level stakeholder objectives</w:t>
      </w:r>
      <w:r>
        <w:t xml:space="preserve"> for a regional </w:t>
      </w:r>
      <w:r w:rsidRPr="0099239B">
        <w:t>Data, Business Intelligence and Analytics capability</w:t>
      </w:r>
      <w:r>
        <w:t>.</w:t>
      </w:r>
      <w:r w:rsidR="00E5179F">
        <w:t xml:space="preserve"> These are initial contacts and not an exhaustive list.</w:t>
      </w:r>
    </w:p>
    <w:tbl>
      <w:tblPr>
        <w:tblStyle w:val="TableGrid"/>
        <w:tblW w:w="9180" w:type="dxa"/>
        <w:tblBorders>
          <w:top w:val="single" w:sz="4" w:space="0" w:color="6D658A" w:themeColor="accent2"/>
          <w:left w:val="single" w:sz="4" w:space="0" w:color="6D658A" w:themeColor="accent2"/>
          <w:bottom w:val="single" w:sz="4" w:space="0" w:color="6D658A" w:themeColor="accent2"/>
          <w:right w:val="single" w:sz="4" w:space="0" w:color="6D658A" w:themeColor="accent2"/>
          <w:insideH w:val="single" w:sz="4" w:space="0" w:color="6D658A" w:themeColor="accent2"/>
          <w:insideV w:val="single" w:sz="4" w:space="0" w:color="6D658A" w:themeColor="accent2"/>
        </w:tblBorders>
        <w:tblLook w:val="04A0" w:firstRow="1" w:lastRow="0" w:firstColumn="1" w:lastColumn="0" w:noHBand="0" w:noVBand="1"/>
      </w:tblPr>
      <w:tblGrid>
        <w:gridCol w:w="6487"/>
        <w:gridCol w:w="2693"/>
      </w:tblGrid>
      <w:tr w:rsidR="008D39E8" w:rsidTr="00A954FB">
        <w:trPr>
          <w:cantSplit/>
          <w:trHeight w:val="337"/>
          <w:tblHeader/>
        </w:trPr>
        <w:tc>
          <w:tcPr>
            <w:tcW w:w="6487" w:type="dxa"/>
            <w:shd w:val="clear" w:color="auto" w:fill="E3E2F5" w:themeFill="accent4"/>
          </w:tcPr>
          <w:p w:rsidR="008D39E8" w:rsidRDefault="008D39E8" w:rsidP="008D39E8">
            <w:pPr>
              <w:pStyle w:val="TableText"/>
            </w:pPr>
            <w:r>
              <w:t>Objective</w:t>
            </w:r>
          </w:p>
        </w:tc>
        <w:tc>
          <w:tcPr>
            <w:tcW w:w="2693" w:type="dxa"/>
            <w:shd w:val="clear" w:color="auto" w:fill="E3E2F5" w:themeFill="accent4"/>
          </w:tcPr>
          <w:p w:rsidR="008D39E8" w:rsidRDefault="008D39E8" w:rsidP="008D39E8">
            <w:pPr>
              <w:pStyle w:val="TableText"/>
            </w:pPr>
            <w:r>
              <w:t>Stakeholder</w:t>
            </w:r>
            <w:r w:rsidR="00A954FB">
              <w:t>s</w:t>
            </w:r>
          </w:p>
        </w:tc>
      </w:tr>
      <w:tr w:rsidR="008D39E8" w:rsidTr="00A954FB">
        <w:trPr>
          <w:cantSplit/>
          <w:trHeight w:val="343"/>
        </w:trPr>
        <w:tc>
          <w:tcPr>
            <w:tcW w:w="6487" w:type="dxa"/>
          </w:tcPr>
          <w:p w:rsidR="008D39E8" w:rsidRDefault="008D39E8" w:rsidP="008D39E8">
            <w:pPr>
              <w:pStyle w:val="TableText"/>
            </w:pPr>
            <w:r>
              <w:t>Provide analysis data for regional clinical groups</w:t>
            </w:r>
            <w:r w:rsidR="00A954FB">
              <w:t xml:space="preserve"> such as </w:t>
            </w:r>
            <w:r w:rsidR="00A954FB" w:rsidRPr="00A954FB">
              <w:t>Child Health Action Group</w:t>
            </w:r>
            <w:r w:rsidR="00A954FB">
              <w:t>.</w:t>
            </w:r>
          </w:p>
        </w:tc>
        <w:tc>
          <w:tcPr>
            <w:tcW w:w="2693" w:type="dxa"/>
          </w:tcPr>
          <w:p w:rsidR="008D39E8" w:rsidRDefault="00A954FB" w:rsidP="008D39E8">
            <w:pPr>
              <w:pStyle w:val="TableText"/>
            </w:pPr>
            <w:r>
              <w:t>David Graham, Waikato DHB.</w:t>
            </w:r>
          </w:p>
        </w:tc>
      </w:tr>
      <w:tr w:rsidR="008D39E8" w:rsidRPr="002F6482" w:rsidTr="00A954FB">
        <w:trPr>
          <w:cantSplit/>
          <w:trHeight w:val="343"/>
        </w:trPr>
        <w:tc>
          <w:tcPr>
            <w:tcW w:w="6487" w:type="dxa"/>
          </w:tcPr>
          <w:p w:rsidR="008D39E8" w:rsidRPr="002F6482" w:rsidRDefault="008D39E8" w:rsidP="008D39E8">
            <w:pPr>
              <w:pStyle w:val="TableText"/>
            </w:pPr>
            <w:r>
              <w:t xml:space="preserve">Provide input to </w:t>
            </w:r>
            <w:r w:rsidR="00086ED1">
              <w:t xml:space="preserve">innovation and </w:t>
            </w:r>
            <w:r>
              <w:t>research</w:t>
            </w:r>
            <w:r w:rsidR="00A954FB">
              <w:t>.</w:t>
            </w:r>
          </w:p>
        </w:tc>
        <w:tc>
          <w:tcPr>
            <w:tcW w:w="2693" w:type="dxa"/>
          </w:tcPr>
          <w:p w:rsidR="008D39E8" w:rsidRDefault="00A954FB" w:rsidP="008D39E8">
            <w:pPr>
              <w:pStyle w:val="TableText"/>
            </w:pPr>
            <w:r w:rsidRPr="00A954FB">
              <w:t>Charlie Stratton</w:t>
            </w:r>
            <w:r>
              <w:t>, BOP DHB.</w:t>
            </w:r>
          </w:p>
        </w:tc>
      </w:tr>
      <w:tr w:rsidR="008D39E8" w:rsidRPr="004B429B" w:rsidTr="00A954FB">
        <w:trPr>
          <w:cantSplit/>
          <w:trHeight w:val="343"/>
        </w:trPr>
        <w:tc>
          <w:tcPr>
            <w:tcW w:w="6487" w:type="dxa"/>
          </w:tcPr>
          <w:p w:rsidR="008D39E8" w:rsidRPr="004B429B" w:rsidRDefault="008D39E8" w:rsidP="00A954FB">
            <w:pPr>
              <w:pStyle w:val="TableText"/>
            </w:pPr>
            <w:r>
              <w:t xml:space="preserve">Provide analysis insights to address </w:t>
            </w:r>
            <w:proofErr w:type="spellStart"/>
            <w:r>
              <w:t>MoH</w:t>
            </w:r>
            <w:proofErr w:type="spellEnd"/>
            <w:r>
              <w:t xml:space="preserve"> health equity objectives as well as </w:t>
            </w:r>
            <w:r w:rsidR="00A954FB">
              <w:t>data for System Level Measures</w:t>
            </w:r>
            <w:r w:rsidR="0099239B">
              <w:t xml:space="preserve"> and other relevant </w:t>
            </w:r>
            <w:proofErr w:type="spellStart"/>
            <w:r w:rsidR="0099239B">
              <w:t>MoH</w:t>
            </w:r>
            <w:proofErr w:type="spellEnd"/>
            <w:r w:rsidR="0099239B">
              <w:t xml:space="preserve"> measures as they arise.</w:t>
            </w:r>
          </w:p>
        </w:tc>
        <w:tc>
          <w:tcPr>
            <w:tcW w:w="2693" w:type="dxa"/>
          </w:tcPr>
          <w:p w:rsidR="008D39E8" w:rsidRDefault="00A954FB" w:rsidP="008D39E8">
            <w:pPr>
              <w:pStyle w:val="TableText"/>
            </w:pPr>
            <w:r>
              <w:t>Ruth Large</w:t>
            </w:r>
            <w:proofErr w:type="gramStart"/>
            <w:r>
              <w:t>,  Waikato</w:t>
            </w:r>
            <w:proofErr w:type="gramEnd"/>
            <w:r>
              <w:t xml:space="preserve"> DHB.</w:t>
            </w:r>
          </w:p>
          <w:p w:rsidR="00A954FB" w:rsidRDefault="00A954FB" w:rsidP="008D39E8">
            <w:pPr>
              <w:pStyle w:val="TableText"/>
            </w:pPr>
            <w:r w:rsidRPr="00A954FB">
              <w:t>Matt Valentine</w:t>
            </w:r>
            <w:r>
              <w:t>, BOP DHB.</w:t>
            </w:r>
          </w:p>
          <w:p w:rsidR="00A954FB" w:rsidRDefault="00A954FB" w:rsidP="008D39E8">
            <w:pPr>
              <w:pStyle w:val="TableText"/>
            </w:pPr>
            <w:r w:rsidRPr="00A954FB">
              <w:t xml:space="preserve">Yariv </w:t>
            </w:r>
            <w:proofErr w:type="spellStart"/>
            <w:r w:rsidRPr="00A954FB">
              <w:t>Doron</w:t>
            </w:r>
            <w:proofErr w:type="spellEnd"/>
            <w:r>
              <w:t>, Taranaki DHB.</w:t>
            </w:r>
          </w:p>
        </w:tc>
      </w:tr>
      <w:tr w:rsidR="008D39E8" w:rsidRPr="004B429B" w:rsidTr="00A954FB">
        <w:trPr>
          <w:cantSplit/>
          <w:trHeight w:val="343"/>
        </w:trPr>
        <w:tc>
          <w:tcPr>
            <w:tcW w:w="6487" w:type="dxa"/>
          </w:tcPr>
          <w:p w:rsidR="00C25AFE" w:rsidRPr="004B429B" w:rsidRDefault="008D39E8" w:rsidP="00A954FB">
            <w:pPr>
              <w:pStyle w:val="TableText"/>
            </w:pPr>
            <w:r>
              <w:t>Provide analysis data for DHB’s to wishing to undertake clinical improvements</w:t>
            </w:r>
            <w:r w:rsidR="00A954FB">
              <w:t>, service improvements and workforce improvements</w:t>
            </w:r>
            <w:r w:rsidR="00C25AFE">
              <w:t>.</w:t>
            </w:r>
          </w:p>
        </w:tc>
        <w:tc>
          <w:tcPr>
            <w:tcW w:w="2693" w:type="dxa"/>
          </w:tcPr>
          <w:p w:rsidR="008D39E8" w:rsidRDefault="00C9248E" w:rsidP="008D39E8">
            <w:pPr>
              <w:pStyle w:val="TableText"/>
            </w:pPr>
            <w:r>
              <w:t>COOs</w:t>
            </w:r>
          </w:p>
        </w:tc>
      </w:tr>
      <w:tr w:rsidR="0099239B" w:rsidRPr="004B429B" w:rsidTr="00A954FB">
        <w:trPr>
          <w:cantSplit/>
          <w:trHeight w:val="343"/>
        </w:trPr>
        <w:tc>
          <w:tcPr>
            <w:tcW w:w="6487" w:type="dxa"/>
          </w:tcPr>
          <w:p w:rsidR="0099239B" w:rsidRDefault="0099239B" w:rsidP="00A954FB">
            <w:pPr>
              <w:pStyle w:val="TableText"/>
            </w:pPr>
            <w:r>
              <w:t>Clinical audit capability.</w:t>
            </w:r>
          </w:p>
        </w:tc>
        <w:tc>
          <w:tcPr>
            <w:tcW w:w="2693" w:type="dxa"/>
          </w:tcPr>
          <w:p w:rsidR="0099239B" w:rsidRDefault="0099239B" w:rsidP="0099239B">
            <w:pPr>
              <w:pStyle w:val="TableText"/>
            </w:pPr>
            <w:r>
              <w:t>Quality and Risk</w:t>
            </w:r>
          </w:p>
        </w:tc>
      </w:tr>
      <w:tr w:rsidR="008D39E8" w:rsidRPr="004B429B" w:rsidTr="00A954FB">
        <w:trPr>
          <w:cantSplit/>
          <w:trHeight w:val="343"/>
        </w:trPr>
        <w:tc>
          <w:tcPr>
            <w:tcW w:w="6487" w:type="dxa"/>
          </w:tcPr>
          <w:p w:rsidR="008D39E8" w:rsidRPr="004B429B" w:rsidRDefault="008D39E8" w:rsidP="00A954FB">
            <w:pPr>
              <w:pStyle w:val="TableText"/>
            </w:pPr>
            <w:r>
              <w:t>Provide data input to capacity planning</w:t>
            </w:r>
            <w:r w:rsidR="0099239B">
              <w:t>.</w:t>
            </w:r>
          </w:p>
        </w:tc>
        <w:tc>
          <w:tcPr>
            <w:tcW w:w="2693" w:type="dxa"/>
          </w:tcPr>
          <w:p w:rsidR="008D39E8" w:rsidRDefault="00C9248E" w:rsidP="008D39E8">
            <w:pPr>
              <w:pStyle w:val="TableText"/>
            </w:pPr>
            <w:r>
              <w:t>Planning and Funding</w:t>
            </w:r>
          </w:p>
        </w:tc>
      </w:tr>
      <w:tr w:rsidR="008D39E8" w:rsidRPr="004B429B" w:rsidTr="00A954FB">
        <w:trPr>
          <w:cantSplit/>
          <w:trHeight w:val="343"/>
        </w:trPr>
        <w:tc>
          <w:tcPr>
            <w:tcW w:w="6487" w:type="dxa"/>
          </w:tcPr>
          <w:p w:rsidR="00C25AFE" w:rsidRPr="004B429B" w:rsidRDefault="00A954FB" w:rsidP="00C25AFE">
            <w:pPr>
              <w:pStyle w:val="TableText"/>
            </w:pPr>
            <w:r>
              <w:t>Provide data input to financial management objectives</w:t>
            </w:r>
            <w:r w:rsidR="00C25AFE">
              <w:t>.</w:t>
            </w:r>
          </w:p>
        </w:tc>
        <w:tc>
          <w:tcPr>
            <w:tcW w:w="2693" w:type="dxa"/>
          </w:tcPr>
          <w:p w:rsidR="008D39E8" w:rsidRDefault="00A954FB" w:rsidP="008D39E8">
            <w:pPr>
              <w:pStyle w:val="TableText"/>
            </w:pPr>
            <w:r>
              <w:t>CFOs</w:t>
            </w:r>
          </w:p>
        </w:tc>
      </w:tr>
      <w:tr w:rsidR="0099239B" w:rsidRPr="004B429B" w:rsidTr="00A954FB">
        <w:trPr>
          <w:cantSplit/>
          <w:trHeight w:val="343"/>
        </w:trPr>
        <w:tc>
          <w:tcPr>
            <w:tcW w:w="6487" w:type="dxa"/>
          </w:tcPr>
          <w:p w:rsidR="0099239B" w:rsidRDefault="0099239B" w:rsidP="0099239B">
            <w:pPr>
              <w:pStyle w:val="TableText"/>
            </w:pPr>
            <w:r>
              <w:t>Financial audit and fraud detection measures.</w:t>
            </w:r>
          </w:p>
        </w:tc>
        <w:tc>
          <w:tcPr>
            <w:tcW w:w="2693" w:type="dxa"/>
          </w:tcPr>
          <w:p w:rsidR="0099239B" w:rsidRDefault="0099239B" w:rsidP="008D39E8">
            <w:pPr>
              <w:pStyle w:val="TableText"/>
            </w:pPr>
            <w:r>
              <w:t>CFOs?</w:t>
            </w:r>
          </w:p>
        </w:tc>
      </w:tr>
      <w:tr w:rsidR="006363B6" w:rsidRPr="004B429B" w:rsidTr="00A954FB">
        <w:trPr>
          <w:cantSplit/>
          <w:trHeight w:val="343"/>
        </w:trPr>
        <w:tc>
          <w:tcPr>
            <w:tcW w:w="6487" w:type="dxa"/>
          </w:tcPr>
          <w:p w:rsidR="006363B6" w:rsidRDefault="006363B6" w:rsidP="006363B6">
            <w:pPr>
              <w:pStyle w:val="TableText"/>
            </w:pPr>
            <w:r>
              <w:t>Ensure privacy and security is managed at all times, with risks expressed and understood at the right level</w:t>
            </w:r>
            <w:r w:rsidR="0099239B">
              <w:t>.</w:t>
            </w:r>
          </w:p>
        </w:tc>
        <w:tc>
          <w:tcPr>
            <w:tcW w:w="2693" w:type="dxa"/>
          </w:tcPr>
          <w:p w:rsidR="006363B6" w:rsidRDefault="006363B6" w:rsidP="008D39E8">
            <w:pPr>
              <w:pStyle w:val="TableText"/>
            </w:pPr>
            <w:r>
              <w:t>DHB Privacy officers</w:t>
            </w:r>
          </w:p>
          <w:p w:rsidR="006363B6" w:rsidRDefault="006363B6" w:rsidP="008D39E8">
            <w:pPr>
              <w:pStyle w:val="TableText"/>
            </w:pPr>
            <w:r>
              <w:t xml:space="preserve">CISO for </w:t>
            </w:r>
            <w:proofErr w:type="spellStart"/>
            <w:r>
              <w:t>HealthShare</w:t>
            </w:r>
            <w:proofErr w:type="spellEnd"/>
          </w:p>
        </w:tc>
      </w:tr>
      <w:tr w:rsidR="0039127C" w:rsidRPr="004B429B" w:rsidTr="00A954FB">
        <w:trPr>
          <w:cantSplit/>
          <w:trHeight w:val="343"/>
        </w:trPr>
        <w:tc>
          <w:tcPr>
            <w:tcW w:w="6487" w:type="dxa"/>
          </w:tcPr>
          <w:p w:rsidR="0039127C" w:rsidRDefault="0039127C" w:rsidP="006363B6">
            <w:pPr>
              <w:pStyle w:val="TableText"/>
            </w:pPr>
            <w:r>
              <w:t xml:space="preserve">Ensure </w:t>
            </w:r>
            <w:r w:rsidRPr="0039127C">
              <w:t>Data, Business Intelligence and Analytics capability</w:t>
            </w:r>
            <w:r>
              <w:t xml:space="preserve"> aligns with regional objectives</w:t>
            </w:r>
            <w:r w:rsidR="0099239B">
              <w:t>.</w:t>
            </w:r>
          </w:p>
        </w:tc>
        <w:tc>
          <w:tcPr>
            <w:tcW w:w="2693" w:type="dxa"/>
          </w:tcPr>
          <w:p w:rsidR="0039127C" w:rsidRDefault="0039127C" w:rsidP="008D39E8">
            <w:pPr>
              <w:pStyle w:val="TableText"/>
            </w:pPr>
            <w:r>
              <w:t>Data governance group</w:t>
            </w:r>
          </w:p>
          <w:p w:rsidR="0039127C" w:rsidRDefault="0039127C" w:rsidP="008D39E8">
            <w:pPr>
              <w:pStyle w:val="TableText"/>
            </w:pPr>
            <w:r>
              <w:t>CIOs</w:t>
            </w:r>
          </w:p>
        </w:tc>
      </w:tr>
      <w:tr w:rsidR="002C246E" w:rsidRPr="004B429B" w:rsidTr="00A954FB">
        <w:trPr>
          <w:cantSplit/>
          <w:trHeight w:val="343"/>
        </w:trPr>
        <w:tc>
          <w:tcPr>
            <w:tcW w:w="6487" w:type="dxa"/>
          </w:tcPr>
          <w:p w:rsidR="002C246E" w:rsidRDefault="002C246E" w:rsidP="006363B6">
            <w:pPr>
              <w:pStyle w:val="TableText"/>
            </w:pPr>
            <w:r>
              <w:t>Provide data to PHO’s for analysis, planning and feedback</w:t>
            </w:r>
          </w:p>
        </w:tc>
        <w:tc>
          <w:tcPr>
            <w:tcW w:w="2693" w:type="dxa"/>
          </w:tcPr>
          <w:p w:rsidR="002C246E" w:rsidRDefault="002C246E" w:rsidP="002C246E">
            <w:pPr>
              <w:pStyle w:val="TableText"/>
            </w:pPr>
            <w:r>
              <w:t>Robin M</w:t>
            </w:r>
            <w:r w:rsidRPr="002C246E">
              <w:t>ilne</w:t>
            </w:r>
            <w:r>
              <w:t xml:space="preserve"> representing BOPIS</w:t>
            </w:r>
            <w:r w:rsidR="00E5179F">
              <w:t>.</w:t>
            </w:r>
          </w:p>
          <w:p w:rsidR="00E5179F" w:rsidRDefault="00E5179F" w:rsidP="00E5179F">
            <w:pPr>
              <w:pStyle w:val="TableText"/>
            </w:pPr>
            <w:r w:rsidRPr="00E5179F">
              <w:t>Reuben</w:t>
            </w:r>
            <w:r>
              <w:t xml:space="preserve"> K</w:t>
            </w:r>
            <w:r w:rsidRPr="00E5179F">
              <w:t>endall</w:t>
            </w:r>
            <w:r>
              <w:t xml:space="preserve"> from H</w:t>
            </w:r>
            <w:r w:rsidRPr="00E5179F">
              <w:t>auraki</w:t>
            </w:r>
            <w:r>
              <w:t xml:space="preserve"> PHO</w:t>
            </w:r>
          </w:p>
        </w:tc>
      </w:tr>
    </w:tbl>
    <w:p w:rsidR="008D39E8" w:rsidRDefault="008D39E8" w:rsidP="006F44ED"/>
    <w:p w:rsidR="00D51054" w:rsidRDefault="003B22C9" w:rsidP="003B22C9">
      <w:pPr>
        <w:pStyle w:val="Heading3"/>
      </w:pPr>
      <w:r>
        <w:lastRenderedPageBreak/>
        <w:t xml:space="preserve">Input point - </w:t>
      </w:r>
      <w:r w:rsidR="00D51054">
        <w:t>Regional Services Plan</w:t>
      </w:r>
    </w:p>
    <w:p w:rsidR="0099239B" w:rsidRDefault="00D51054" w:rsidP="00D51054">
      <w:r>
        <w:t>The Regional Services Plan has 108 references to ‘data’</w:t>
      </w:r>
      <w:r w:rsidR="0099239B">
        <w:t xml:space="preserve"> and an implied capability for analysis and reporting</w:t>
      </w:r>
      <w:r>
        <w:t>. The</w:t>
      </w:r>
      <w:r w:rsidR="0099239B">
        <w:t xml:space="preserve"> data references</w:t>
      </w:r>
      <w:r>
        <w:t xml:space="preserve"> focus on varying levels of analysis to ensure that improvements can be targeted and measured.</w:t>
      </w:r>
      <w:r w:rsidR="003B7997">
        <w:t xml:space="preserve"> </w:t>
      </w:r>
    </w:p>
    <w:p w:rsidR="00D51054" w:rsidRDefault="00D51054" w:rsidP="00D51054">
      <w:r>
        <w:t>An example, under the heading ‘Specific equity lens in Midland’:</w:t>
      </w:r>
    </w:p>
    <w:p w:rsidR="00D51054" w:rsidRDefault="00D51054" w:rsidP="00D51054">
      <w:r>
        <w:t>Data management</w:t>
      </w:r>
    </w:p>
    <w:p w:rsidR="00D51054" w:rsidRDefault="00D51054" w:rsidP="00D51054">
      <w:pPr>
        <w:pStyle w:val="ListParagraph"/>
        <w:numPr>
          <w:ilvl w:val="0"/>
          <w:numId w:val="21"/>
        </w:numPr>
      </w:pPr>
      <w:r>
        <w:t>Regional Stakeholder Networks to identify data sets for analysis</w:t>
      </w:r>
    </w:p>
    <w:p w:rsidR="00D51054" w:rsidRDefault="00D51054" w:rsidP="00D51054">
      <w:pPr>
        <w:pStyle w:val="ListParagraph"/>
        <w:numPr>
          <w:ilvl w:val="0"/>
          <w:numId w:val="21"/>
        </w:numPr>
      </w:pPr>
      <w:r>
        <w:t>Ensure that analysis of data is undertaken and informs all projects undertaken in 2018-19</w:t>
      </w:r>
    </w:p>
    <w:p w:rsidR="00D51054" w:rsidRDefault="00D51054" w:rsidP="00D51054">
      <w:pPr>
        <w:pStyle w:val="ListParagraph"/>
        <w:numPr>
          <w:ilvl w:val="0"/>
          <w:numId w:val="21"/>
        </w:numPr>
      </w:pPr>
      <w:r>
        <w:t>Further analysis of current data sets to ascertain effectiveness of information provided.</w:t>
      </w:r>
    </w:p>
    <w:p w:rsidR="00D51054" w:rsidRPr="00D51054" w:rsidRDefault="00D51054" w:rsidP="00D51054"/>
    <w:p w:rsidR="00494E81" w:rsidRDefault="003B22C9" w:rsidP="003B22C9">
      <w:pPr>
        <w:pStyle w:val="Heading3"/>
      </w:pPr>
      <w:r>
        <w:t xml:space="preserve">Input point - </w:t>
      </w:r>
      <w:r w:rsidR="00494E81">
        <w:t>MOH expectations</w:t>
      </w:r>
    </w:p>
    <w:p w:rsidR="0099239B" w:rsidRDefault="00F45525" w:rsidP="00F45525">
      <w:r>
        <w:t xml:space="preserve">In the Minister of Health’s </w:t>
      </w:r>
      <w:r w:rsidRPr="00F45525">
        <w:t>Letter of Expectations for district health boards and subsidiary entities for 2019 /20</w:t>
      </w:r>
      <w:r>
        <w:t xml:space="preserve">, there are many references to working with PHO’s and other key stakeholders across the health system to make improvements. </w:t>
      </w:r>
      <w:r w:rsidR="0099239B">
        <w:t>These also imply data capture and measurement in order to demonstrate improvements.</w:t>
      </w:r>
    </w:p>
    <w:p w:rsidR="00F45525" w:rsidRDefault="00F45525" w:rsidP="00F45525">
      <w:r>
        <w:t>Some examples include:</w:t>
      </w:r>
    </w:p>
    <w:p w:rsidR="00F45525" w:rsidRDefault="00F45525" w:rsidP="00F45525">
      <w:pPr>
        <w:ind w:left="720"/>
        <w:rPr>
          <w:i/>
        </w:rPr>
      </w:pPr>
      <w:r w:rsidRPr="00F45525">
        <w:rPr>
          <w:i/>
        </w:rPr>
        <w:t>“I also want to see closer integration of primary health care with secondary and community care.”</w:t>
      </w:r>
    </w:p>
    <w:p w:rsidR="00F45525" w:rsidRDefault="00F45525" w:rsidP="00F45525">
      <w:pPr>
        <w:ind w:left="720"/>
        <w:rPr>
          <w:i/>
        </w:rPr>
      </w:pPr>
      <w:r>
        <w:rPr>
          <w:i/>
        </w:rPr>
        <w:t>“</w:t>
      </w:r>
      <w:r w:rsidRPr="00F45525">
        <w:rPr>
          <w:i/>
        </w:rPr>
        <w:t>I expect you to continue to co-design and deliver initiatives to achieve progress on System Level Measures with primary health organisations (PHOs) and other key stakeholders.</w:t>
      </w:r>
      <w:r>
        <w:rPr>
          <w:i/>
        </w:rPr>
        <w:t>”</w:t>
      </w:r>
    </w:p>
    <w:p w:rsidR="00F45525" w:rsidRPr="00F45525" w:rsidRDefault="00F45525" w:rsidP="00F45525">
      <w:pPr>
        <w:ind w:left="720"/>
        <w:rPr>
          <w:i/>
        </w:rPr>
      </w:pPr>
      <w:r>
        <w:rPr>
          <w:i/>
        </w:rPr>
        <w:t>“</w:t>
      </w:r>
      <w:r w:rsidRPr="00F45525">
        <w:rPr>
          <w:i/>
        </w:rPr>
        <w:t>Improving equity and wellbeing and delivering on several other expectations I am setting in this letter will not be possible without strong cross-sectoral collaboration.</w:t>
      </w:r>
      <w:r>
        <w:rPr>
          <w:i/>
        </w:rPr>
        <w:t>”</w:t>
      </w:r>
    </w:p>
    <w:p w:rsidR="008C2A72" w:rsidRDefault="00F45525" w:rsidP="003B22C9">
      <w:r>
        <w:t>First steps along the journey to making improvements are measurements and insights, understanding the environment we are in now and then making coordinated change.</w:t>
      </w:r>
    </w:p>
    <w:p w:rsidR="003B22C9" w:rsidRDefault="003B22C9" w:rsidP="003B22C9"/>
    <w:p w:rsidR="003B22C9" w:rsidRDefault="003B22C9" w:rsidP="003B22C9">
      <w:pPr>
        <w:pStyle w:val="Heading3"/>
      </w:pPr>
      <w:r>
        <w:t>Input point – healthAlliance content</w:t>
      </w:r>
    </w:p>
    <w:p w:rsidR="003B22C9" w:rsidRPr="003B22C9" w:rsidRDefault="003B22C9" w:rsidP="003B22C9">
      <w:r>
        <w:t xml:space="preserve">Two </w:t>
      </w:r>
      <w:proofErr w:type="spellStart"/>
      <w:r>
        <w:t>hA</w:t>
      </w:r>
      <w:proofErr w:type="spellEnd"/>
      <w:r>
        <w:t xml:space="preserve"> artefacts were explored: </w:t>
      </w:r>
    </w:p>
    <w:p w:rsidR="003B22C9" w:rsidRDefault="003B22C9" w:rsidP="003B22C9">
      <w:pPr>
        <w:pStyle w:val="ListParagraph"/>
        <w:numPr>
          <w:ilvl w:val="0"/>
          <w:numId w:val="21"/>
        </w:numPr>
      </w:pPr>
      <w:r w:rsidRPr="00086ED1">
        <w:t>Northern Region</w:t>
      </w:r>
      <w:r>
        <w:t xml:space="preserve"> </w:t>
      </w:r>
      <w:r w:rsidRPr="00086ED1">
        <w:t>Data Strategy and Roadmap Definition</w:t>
      </w:r>
      <w:r>
        <w:t xml:space="preserve"> v07 </w:t>
      </w:r>
      <w:r w:rsidRPr="00086ED1">
        <w:t>06-08-2018</w:t>
      </w:r>
    </w:p>
    <w:p w:rsidR="003B22C9" w:rsidRDefault="003B22C9" w:rsidP="003B22C9">
      <w:pPr>
        <w:pStyle w:val="ListParagraph"/>
        <w:numPr>
          <w:ilvl w:val="0"/>
          <w:numId w:val="21"/>
        </w:numPr>
      </w:pPr>
      <w:r w:rsidRPr="00B56D5E">
        <w:t>ISSP</w:t>
      </w:r>
      <w:r>
        <w:t xml:space="preserve"> </w:t>
      </w:r>
      <w:r w:rsidRPr="00B56D5E">
        <w:t>Data Management Capability (DMC)</w:t>
      </w:r>
      <w:r>
        <w:t xml:space="preserve"> </w:t>
      </w:r>
      <w:r w:rsidRPr="00B56D5E">
        <w:t>Implementation Pack</w:t>
      </w:r>
    </w:p>
    <w:p w:rsidR="003B22C9" w:rsidRPr="003B22C9" w:rsidRDefault="003B22C9" w:rsidP="003B22C9">
      <w:r>
        <w:t>Some relevant excerpts can be found in the appendix.</w:t>
      </w:r>
    </w:p>
    <w:p w:rsidR="008C2A72" w:rsidRDefault="0039127C" w:rsidP="0039127C">
      <w:pPr>
        <w:pStyle w:val="Heading1"/>
      </w:pPr>
      <w:r>
        <w:lastRenderedPageBreak/>
        <w:t>Data sources</w:t>
      </w:r>
    </w:p>
    <w:p w:rsidR="0039127C" w:rsidRPr="0039127C" w:rsidRDefault="0039127C" w:rsidP="0039127C">
      <w:pPr>
        <w:pStyle w:val="Heading3"/>
      </w:pPr>
      <w:r>
        <w:t>Target architecture data sources brainstorming</w:t>
      </w:r>
    </w:p>
    <w:p w:rsidR="0039127C" w:rsidRDefault="00C25AFE" w:rsidP="0039127C">
      <w:r w:rsidRPr="00C25AFE">
        <w:rPr>
          <w:noProof/>
        </w:rPr>
        <w:drawing>
          <wp:inline distT="0" distB="0" distL="0" distR="0" wp14:anchorId="01D9F7D4" wp14:editId="22052D0D">
            <wp:extent cx="5746750" cy="4085520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40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27C" w:rsidRDefault="0039127C" w:rsidP="0039127C"/>
    <w:p w:rsidR="0004321E" w:rsidRDefault="0004321E">
      <w:pPr>
        <w:spacing w:before="0" w:after="200" w:line="276" w:lineRule="auto"/>
        <w:rPr>
          <w:rFonts w:asciiTheme="majorHAnsi" w:eastAsiaTheme="majorEastAsia" w:hAnsiTheme="majorHAnsi" w:cstheme="majorBidi"/>
          <w:bCs/>
          <w:color w:val="261970" w:themeColor="text2"/>
          <w:sz w:val="40"/>
          <w:szCs w:val="28"/>
        </w:rPr>
      </w:pPr>
      <w:r>
        <w:br w:type="page"/>
      </w:r>
    </w:p>
    <w:p w:rsidR="0039127C" w:rsidRDefault="0039127C" w:rsidP="0039127C">
      <w:pPr>
        <w:pStyle w:val="Heading1"/>
      </w:pPr>
      <w:r>
        <w:lastRenderedPageBreak/>
        <w:t>Target state functional</w:t>
      </w:r>
      <w:r w:rsidR="00201808">
        <w:t xml:space="preserve"> capability</w:t>
      </w:r>
    </w:p>
    <w:p w:rsidR="0039127C" w:rsidRDefault="00E315A1" w:rsidP="0039127C">
      <w:r w:rsidRPr="00E315A1">
        <w:drawing>
          <wp:inline distT="0" distB="0" distL="0" distR="0" wp14:anchorId="58F109FE" wp14:editId="321939FA">
            <wp:extent cx="5746750" cy="2402057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0" cy="240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70D" w:rsidRDefault="00ED370D" w:rsidP="0039127C"/>
    <w:p w:rsidR="00ED370D" w:rsidRDefault="00ED370D" w:rsidP="00ED370D">
      <w:pPr>
        <w:pStyle w:val="Heading2"/>
      </w:pPr>
      <w:bookmarkStart w:id="2" w:name="_Ref3447896"/>
      <w:r>
        <w:t>Foundational elements</w:t>
      </w:r>
      <w:bookmarkEnd w:id="2"/>
    </w:p>
    <w:p w:rsidR="00D0663F" w:rsidRPr="00D0663F" w:rsidRDefault="00D0663F" w:rsidP="00D0663F">
      <w:r>
        <w:t>These foundational items underscore having a consistent and scalable sustainable capability that meets the needs of the stakeholders.</w:t>
      </w:r>
      <w:r w:rsidR="0004321E">
        <w:t xml:space="preserve"> They must be undertaken first in order to avoid costly rework and/or loss of trust in the capability.</w:t>
      </w:r>
    </w:p>
    <w:tbl>
      <w:tblPr>
        <w:tblStyle w:val="TableGrid"/>
        <w:tblW w:w="9180" w:type="dxa"/>
        <w:tblBorders>
          <w:top w:val="single" w:sz="4" w:space="0" w:color="6D658A" w:themeColor="accent2"/>
          <w:left w:val="single" w:sz="4" w:space="0" w:color="6D658A" w:themeColor="accent2"/>
          <w:bottom w:val="single" w:sz="4" w:space="0" w:color="6D658A" w:themeColor="accent2"/>
          <w:right w:val="single" w:sz="4" w:space="0" w:color="6D658A" w:themeColor="accent2"/>
          <w:insideH w:val="single" w:sz="4" w:space="0" w:color="6D658A" w:themeColor="accent2"/>
          <w:insideV w:val="single" w:sz="4" w:space="0" w:color="6D658A" w:themeColor="accent2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53693B" w:rsidTr="0053693B">
        <w:trPr>
          <w:cantSplit/>
          <w:trHeight w:val="337"/>
          <w:tblHeader/>
        </w:trPr>
        <w:tc>
          <w:tcPr>
            <w:tcW w:w="2802" w:type="dxa"/>
            <w:shd w:val="clear" w:color="auto" w:fill="E3E2F5" w:themeFill="accent4"/>
          </w:tcPr>
          <w:p w:rsidR="0053693B" w:rsidRDefault="0053693B" w:rsidP="00D0663F">
            <w:pPr>
              <w:pStyle w:val="TableText"/>
            </w:pPr>
            <w:r>
              <w:t xml:space="preserve">Element </w:t>
            </w:r>
            <w:r w:rsidR="001341ED">
              <w:t>/ component</w:t>
            </w:r>
          </w:p>
        </w:tc>
        <w:tc>
          <w:tcPr>
            <w:tcW w:w="6378" w:type="dxa"/>
            <w:shd w:val="clear" w:color="auto" w:fill="E3E2F5" w:themeFill="accent4"/>
          </w:tcPr>
          <w:p w:rsidR="0053693B" w:rsidRDefault="0053693B" w:rsidP="00D0663F">
            <w:pPr>
              <w:pStyle w:val="TableText"/>
            </w:pPr>
            <w:r>
              <w:t>Description / deliverable</w:t>
            </w:r>
          </w:p>
        </w:tc>
      </w:tr>
      <w:tr w:rsidR="0053693B" w:rsidTr="0053693B">
        <w:trPr>
          <w:cantSplit/>
          <w:trHeight w:val="343"/>
        </w:trPr>
        <w:tc>
          <w:tcPr>
            <w:tcW w:w="2802" w:type="dxa"/>
          </w:tcPr>
          <w:p w:rsidR="0053693B" w:rsidRDefault="0053693B" w:rsidP="00D0663F">
            <w:pPr>
              <w:pStyle w:val="TableText"/>
            </w:pPr>
            <w:r>
              <w:t>Regional data architecture approach</w:t>
            </w:r>
          </w:p>
        </w:tc>
        <w:tc>
          <w:tcPr>
            <w:tcW w:w="6378" w:type="dxa"/>
          </w:tcPr>
          <w:p w:rsidR="0053693B" w:rsidRDefault="0053693B" w:rsidP="0053693B">
            <w:pPr>
              <w:pStyle w:val="TableText"/>
              <w:numPr>
                <w:ilvl w:val="0"/>
                <w:numId w:val="23"/>
              </w:numPr>
            </w:pPr>
            <w:r>
              <w:t>Agreed data architecture principles and objectives</w:t>
            </w:r>
          </w:p>
          <w:p w:rsidR="00D0663F" w:rsidRDefault="00D0663F" w:rsidP="0053693B">
            <w:pPr>
              <w:pStyle w:val="TableText"/>
              <w:numPr>
                <w:ilvl w:val="0"/>
                <w:numId w:val="23"/>
              </w:numPr>
            </w:pPr>
            <w:r>
              <w:t>Agreed vision and target architecture</w:t>
            </w:r>
          </w:p>
          <w:p w:rsidR="00B56D5E" w:rsidRDefault="00B56D5E" w:rsidP="00E46F5E">
            <w:pPr>
              <w:pStyle w:val="TableText"/>
              <w:numPr>
                <w:ilvl w:val="0"/>
                <w:numId w:val="23"/>
              </w:numPr>
            </w:pPr>
            <w:r>
              <w:t xml:space="preserve">Review of </w:t>
            </w:r>
            <w:r w:rsidRPr="00B56D5E">
              <w:t>Data Management Association International</w:t>
            </w:r>
            <w:r>
              <w:t xml:space="preserve"> (DAMA International) framework as a basis for data architecture capability</w:t>
            </w:r>
            <w:r w:rsidR="00E46F5E">
              <w:t xml:space="preserve">. See appendix section </w:t>
            </w:r>
            <w:r w:rsidR="00E46F5E">
              <w:fldChar w:fldCharType="begin"/>
            </w:r>
            <w:r w:rsidR="00E46F5E">
              <w:instrText xml:space="preserve"> REF _Ref3453686 \r \h </w:instrText>
            </w:r>
            <w:r w:rsidR="00E46F5E">
              <w:fldChar w:fldCharType="separate"/>
            </w:r>
            <w:r w:rsidR="00E46F5E">
              <w:t>5.1.2</w:t>
            </w:r>
            <w:r w:rsidR="00E46F5E">
              <w:fldChar w:fldCharType="end"/>
            </w:r>
            <w:r w:rsidR="00E46F5E">
              <w:t xml:space="preserve"> for overview.</w:t>
            </w:r>
          </w:p>
        </w:tc>
      </w:tr>
      <w:tr w:rsidR="0053693B" w:rsidTr="0053693B">
        <w:trPr>
          <w:cantSplit/>
          <w:trHeight w:val="343"/>
        </w:trPr>
        <w:tc>
          <w:tcPr>
            <w:tcW w:w="2802" w:type="dxa"/>
          </w:tcPr>
          <w:p w:rsidR="0053693B" w:rsidRPr="002F6482" w:rsidRDefault="0053693B" w:rsidP="0053693B">
            <w:pPr>
              <w:pStyle w:val="TableText"/>
            </w:pPr>
            <w:r>
              <w:t>Regional data architecture roadmap</w:t>
            </w:r>
          </w:p>
        </w:tc>
        <w:tc>
          <w:tcPr>
            <w:tcW w:w="6378" w:type="dxa"/>
          </w:tcPr>
          <w:p w:rsidR="0053693B" w:rsidRDefault="0053693B" w:rsidP="00272547">
            <w:pPr>
              <w:pStyle w:val="TableText"/>
              <w:numPr>
                <w:ilvl w:val="0"/>
                <w:numId w:val="23"/>
              </w:numPr>
            </w:pPr>
            <w:r>
              <w:t xml:space="preserve">Agreed timeline plan of capability delivery, </w:t>
            </w:r>
            <w:r w:rsidR="00272547">
              <w:t xml:space="preserve">with </w:t>
            </w:r>
            <w:r w:rsidR="003116F6">
              <w:t>viewpoints</w:t>
            </w:r>
            <w:r w:rsidR="00272547">
              <w:t xml:space="preserve"> of</w:t>
            </w:r>
            <w:r>
              <w:t xml:space="preserve"> function</w:t>
            </w:r>
            <w:r w:rsidR="00272547">
              <w:t>al capability</w:t>
            </w:r>
            <w:r>
              <w:t xml:space="preserve"> and platform</w:t>
            </w:r>
            <w:r w:rsidR="00272547">
              <w:t xml:space="preserve"> / systems</w:t>
            </w:r>
          </w:p>
        </w:tc>
      </w:tr>
      <w:tr w:rsidR="0053693B" w:rsidTr="0053693B">
        <w:trPr>
          <w:cantSplit/>
          <w:trHeight w:val="343"/>
        </w:trPr>
        <w:tc>
          <w:tcPr>
            <w:tcW w:w="2802" w:type="dxa"/>
          </w:tcPr>
          <w:p w:rsidR="0053693B" w:rsidRDefault="0053693B" w:rsidP="0053693B">
            <w:pPr>
              <w:pStyle w:val="TableText"/>
            </w:pPr>
            <w:r>
              <w:t>Agreed data standards</w:t>
            </w:r>
          </w:p>
        </w:tc>
        <w:tc>
          <w:tcPr>
            <w:tcW w:w="6378" w:type="dxa"/>
          </w:tcPr>
          <w:p w:rsidR="0053693B" w:rsidRDefault="00272547" w:rsidP="0053693B">
            <w:pPr>
              <w:pStyle w:val="TableText"/>
              <w:numPr>
                <w:ilvl w:val="0"/>
                <w:numId w:val="23"/>
              </w:numPr>
            </w:pPr>
            <w:r>
              <w:t>Data classification standards (considering sensitivity, asserted-by, trustworthiness as well as clinical and corporate records</w:t>
            </w:r>
            <w:r w:rsidR="003116F6">
              <w:t xml:space="preserve"> inputs</w:t>
            </w:r>
            <w:r>
              <w:t>)</w:t>
            </w:r>
          </w:p>
          <w:p w:rsidR="008456ED" w:rsidRDefault="003116F6" w:rsidP="0053693B">
            <w:pPr>
              <w:pStyle w:val="TableText"/>
              <w:numPr>
                <w:ilvl w:val="0"/>
                <w:numId w:val="23"/>
              </w:numPr>
            </w:pPr>
            <w:r>
              <w:t xml:space="preserve">Data </w:t>
            </w:r>
            <w:r w:rsidR="008456ED">
              <w:t xml:space="preserve">storage and federation </w:t>
            </w:r>
            <w:r>
              <w:t>(structured vs non-structured</w:t>
            </w:r>
            <w:r w:rsidR="008456ED">
              <w:t>, replication vs federation</w:t>
            </w:r>
            <w:r>
              <w:t>)</w:t>
            </w:r>
            <w:r w:rsidR="005748BB">
              <w:t>, use of abstraction, configuration and control layer in ETL</w:t>
            </w:r>
          </w:p>
          <w:p w:rsidR="00272547" w:rsidRDefault="008456ED" w:rsidP="0053693B">
            <w:pPr>
              <w:pStyle w:val="TableText"/>
              <w:numPr>
                <w:ilvl w:val="0"/>
                <w:numId w:val="23"/>
              </w:numPr>
            </w:pPr>
            <w:r>
              <w:t>Metadata management</w:t>
            </w:r>
            <w:r w:rsidR="003116F6">
              <w:t xml:space="preserve"> </w:t>
            </w:r>
          </w:p>
          <w:p w:rsidR="0053693B" w:rsidRDefault="00272547" w:rsidP="0053693B">
            <w:pPr>
              <w:pStyle w:val="TableText"/>
              <w:numPr>
                <w:ilvl w:val="0"/>
                <w:numId w:val="23"/>
              </w:numPr>
            </w:pPr>
            <w:r>
              <w:t>Interoperability standards</w:t>
            </w:r>
          </w:p>
          <w:p w:rsidR="00E01566" w:rsidRDefault="00E01566" w:rsidP="0053693B">
            <w:pPr>
              <w:pStyle w:val="TableText"/>
              <w:numPr>
                <w:ilvl w:val="0"/>
                <w:numId w:val="23"/>
              </w:numPr>
            </w:pPr>
            <w:r>
              <w:t>Data refresh</w:t>
            </w:r>
            <w:r w:rsidR="008456ED">
              <w:t xml:space="preserve"> rates / data timeliness</w:t>
            </w:r>
          </w:p>
          <w:p w:rsidR="00264ABA" w:rsidRDefault="00264ABA" w:rsidP="0053693B">
            <w:pPr>
              <w:pStyle w:val="TableText"/>
              <w:numPr>
                <w:ilvl w:val="0"/>
                <w:numId w:val="23"/>
              </w:numPr>
            </w:pPr>
            <w:r>
              <w:t>Development standards to support quality data capture and storage</w:t>
            </w:r>
          </w:p>
        </w:tc>
      </w:tr>
      <w:tr w:rsidR="0053693B" w:rsidTr="0053693B">
        <w:trPr>
          <w:cantSplit/>
          <w:trHeight w:val="343"/>
        </w:trPr>
        <w:tc>
          <w:tcPr>
            <w:tcW w:w="2802" w:type="dxa"/>
          </w:tcPr>
          <w:p w:rsidR="0053693B" w:rsidRDefault="0053693B" w:rsidP="0053693B">
            <w:pPr>
              <w:pStyle w:val="TableText"/>
            </w:pPr>
            <w:r>
              <w:t>Data governance</w:t>
            </w:r>
          </w:p>
        </w:tc>
        <w:tc>
          <w:tcPr>
            <w:tcW w:w="6378" w:type="dxa"/>
          </w:tcPr>
          <w:p w:rsidR="008456ED" w:rsidRDefault="00D47AA9" w:rsidP="0053693B">
            <w:pPr>
              <w:pStyle w:val="TableText"/>
              <w:numPr>
                <w:ilvl w:val="0"/>
                <w:numId w:val="23"/>
              </w:numPr>
            </w:pPr>
            <w:r>
              <w:t>Data governance roles and responsibilities</w:t>
            </w:r>
            <w:r w:rsidR="008456ED">
              <w:t xml:space="preserve">. </w:t>
            </w:r>
          </w:p>
          <w:p w:rsidR="0004321E" w:rsidRDefault="008456ED" w:rsidP="008456ED">
            <w:pPr>
              <w:pStyle w:val="TableText"/>
              <w:numPr>
                <w:ilvl w:val="0"/>
                <w:numId w:val="23"/>
              </w:numPr>
            </w:pPr>
            <w:r>
              <w:t>Defined data ownership concept agreement, along with agreed capability and roles for data quality, data stewardship</w:t>
            </w:r>
            <w:r w:rsidR="0004321E">
              <w:t xml:space="preserve">. </w:t>
            </w:r>
          </w:p>
          <w:p w:rsidR="008456ED" w:rsidRDefault="0004321E" w:rsidP="008456ED">
            <w:pPr>
              <w:pStyle w:val="TableText"/>
              <w:numPr>
                <w:ilvl w:val="0"/>
                <w:numId w:val="23"/>
              </w:numPr>
            </w:pPr>
            <w:r>
              <w:t>Agreement for roles in signoff of rules and definitions</w:t>
            </w:r>
          </w:p>
          <w:p w:rsidR="00D47AA9" w:rsidRDefault="00CF67E4" w:rsidP="008456ED">
            <w:pPr>
              <w:pStyle w:val="TableText"/>
              <w:numPr>
                <w:ilvl w:val="0"/>
                <w:numId w:val="23"/>
              </w:numPr>
            </w:pPr>
            <w:r>
              <w:t>Prioritisation of capability elements delivery</w:t>
            </w:r>
          </w:p>
          <w:p w:rsidR="00AB310D" w:rsidRDefault="00AB310D" w:rsidP="008456ED">
            <w:pPr>
              <w:pStyle w:val="TableText"/>
              <w:numPr>
                <w:ilvl w:val="0"/>
                <w:numId w:val="23"/>
              </w:numPr>
            </w:pPr>
            <w:r>
              <w:t>Promote standards adoption / adherence</w:t>
            </w:r>
          </w:p>
        </w:tc>
      </w:tr>
      <w:tr w:rsidR="0053693B" w:rsidTr="0053693B">
        <w:trPr>
          <w:cantSplit/>
          <w:trHeight w:val="343"/>
        </w:trPr>
        <w:tc>
          <w:tcPr>
            <w:tcW w:w="2802" w:type="dxa"/>
          </w:tcPr>
          <w:p w:rsidR="0053693B" w:rsidRDefault="0053693B" w:rsidP="0053693B">
            <w:pPr>
              <w:pStyle w:val="TableText"/>
            </w:pPr>
            <w:r>
              <w:lastRenderedPageBreak/>
              <w:t>Privacy and security policy</w:t>
            </w:r>
          </w:p>
        </w:tc>
        <w:tc>
          <w:tcPr>
            <w:tcW w:w="6378" w:type="dxa"/>
          </w:tcPr>
          <w:p w:rsidR="0053693B" w:rsidRDefault="00D0663F" w:rsidP="0053693B">
            <w:pPr>
              <w:pStyle w:val="TableText"/>
              <w:numPr>
                <w:ilvl w:val="0"/>
                <w:numId w:val="23"/>
              </w:numPr>
            </w:pPr>
            <w:r>
              <w:t>Agreed approach to data obfuscation</w:t>
            </w:r>
          </w:p>
          <w:p w:rsidR="00D0663F" w:rsidRDefault="00D0663F" w:rsidP="00D0663F">
            <w:pPr>
              <w:pStyle w:val="TableText"/>
              <w:numPr>
                <w:ilvl w:val="0"/>
                <w:numId w:val="23"/>
              </w:numPr>
            </w:pPr>
            <w:r>
              <w:t>Policy for data usage for research and analytics</w:t>
            </w:r>
          </w:p>
          <w:p w:rsidR="00272547" w:rsidRDefault="00272547" w:rsidP="00D0663F">
            <w:pPr>
              <w:pStyle w:val="TableText"/>
              <w:numPr>
                <w:ilvl w:val="0"/>
                <w:numId w:val="23"/>
              </w:numPr>
            </w:pPr>
            <w:r>
              <w:t>Consider consent agreements</w:t>
            </w:r>
          </w:p>
        </w:tc>
      </w:tr>
      <w:tr w:rsidR="0053693B" w:rsidTr="0053693B">
        <w:trPr>
          <w:cantSplit/>
          <w:trHeight w:val="343"/>
        </w:trPr>
        <w:tc>
          <w:tcPr>
            <w:tcW w:w="2802" w:type="dxa"/>
          </w:tcPr>
          <w:p w:rsidR="0053693B" w:rsidRDefault="0053693B" w:rsidP="0053693B">
            <w:pPr>
              <w:pStyle w:val="TableText"/>
            </w:pPr>
            <w:r>
              <w:t>Data sharing agreements</w:t>
            </w:r>
          </w:p>
        </w:tc>
        <w:tc>
          <w:tcPr>
            <w:tcW w:w="6378" w:type="dxa"/>
          </w:tcPr>
          <w:p w:rsidR="0053693B" w:rsidRDefault="001341ED" w:rsidP="0053693B">
            <w:pPr>
              <w:pStyle w:val="TableText"/>
              <w:numPr>
                <w:ilvl w:val="0"/>
                <w:numId w:val="23"/>
              </w:numPr>
            </w:pPr>
            <w:r>
              <w:t>Data sharing agreements with external entities providing and consuming data</w:t>
            </w:r>
          </w:p>
          <w:p w:rsidR="001341ED" w:rsidRDefault="001341ED" w:rsidP="0053693B">
            <w:pPr>
              <w:pStyle w:val="TableText"/>
              <w:numPr>
                <w:ilvl w:val="0"/>
                <w:numId w:val="23"/>
              </w:numPr>
            </w:pPr>
            <w:r>
              <w:t>Agreements for those undertaking research</w:t>
            </w:r>
          </w:p>
        </w:tc>
      </w:tr>
    </w:tbl>
    <w:p w:rsidR="00D0663F" w:rsidRDefault="00D0663F" w:rsidP="00D0663F">
      <w:pPr>
        <w:pStyle w:val="Heading2"/>
      </w:pPr>
      <w:r>
        <w:t>Base platform capability elements</w:t>
      </w:r>
    </w:p>
    <w:p w:rsidR="00D0663F" w:rsidRDefault="001341ED" w:rsidP="00D0663F">
      <w:r>
        <w:t xml:space="preserve">The associated components </w:t>
      </w:r>
      <w:r w:rsidR="0004321E">
        <w:t xml:space="preserve">below will be </w:t>
      </w:r>
      <w:proofErr w:type="gramStart"/>
      <w:r w:rsidR="00975698">
        <w:t>refine</w:t>
      </w:r>
      <w:proofErr w:type="gramEnd"/>
      <w:r w:rsidR="00975698">
        <w:t xml:space="preserve"> </w:t>
      </w:r>
      <w:r w:rsidR="0004321E">
        <w:t xml:space="preserve">in the first phase (section </w:t>
      </w:r>
      <w:r w:rsidR="00975698">
        <w:fldChar w:fldCharType="begin"/>
      </w:r>
      <w:r w:rsidR="00975698">
        <w:instrText xml:space="preserve"> REF _Ref3447896 \r \h </w:instrText>
      </w:r>
      <w:r w:rsidR="00975698">
        <w:fldChar w:fldCharType="separate"/>
      </w:r>
      <w:r w:rsidR="00975698">
        <w:t>4.1</w:t>
      </w:r>
      <w:r w:rsidR="00975698">
        <w:fldChar w:fldCharType="end"/>
      </w:r>
      <w:r w:rsidR="00975698">
        <w:t>). These building block components give the minimum viable product for the capability.</w:t>
      </w:r>
    </w:p>
    <w:tbl>
      <w:tblPr>
        <w:tblStyle w:val="TableGrid"/>
        <w:tblW w:w="9180" w:type="dxa"/>
        <w:tblBorders>
          <w:top w:val="single" w:sz="4" w:space="0" w:color="6D658A" w:themeColor="accent2"/>
          <w:left w:val="single" w:sz="4" w:space="0" w:color="6D658A" w:themeColor="accent2"/>
          <w:bottom w:val="single" w:sz="4" w:space="0" w:color="6D658A" w:themeColor="accent2"/>
          <w:right w:val="single" w:sz="4" w:space="0" w:color="6D658A" w:themeColor="accent2"/>
          <w:insideH w:val="single" w:sz="4" w:space="0" w:color="6D658A" w:themeColor="accent2"/>
          <w:insideV w:val="single" w:sz="4" w:space="0" w:color="6D658A" w:themeColor="accent2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1341ED" w:rsidTr="001341ED">
        <w:trPr>
          <w:cantSplit/>
          <w:trHeight w:val="337"/>
          <w:tblHeader/>
        </w:trPr>
        <w:tc>
          <w:tcPr>
            <w:tcW w:w="2802" w:type="dxa"/>
            <w:shd w:val="clear" w:color="auto" w:fill="E3E2F5" w:themeFill="accent4"/>
          </w:tcPr>
          <w:p w:rsidR="001341ED" w:rsidRDefault="001341ED" w:rsidP="001341ED">
            <w:pPr>
              <w:pStyle w:val="TableText"/>
            </w:pPr>
            <w:r>
              <w:t>Element / component</w:t>
            </w:r>
          </w:p>
        </w:tc>
        <w:tc>
          <w:tcPr>
            <w:tcW w:w="6378" w:type="dxa"/>
            <w:shd w:val="clear" w:color="auto" w:fill="E3E2F5" w:themeFill="accent4"/>
          </w:tcPr>
          <w:p w:rsidR="001341ED" w:rsidRDefault="001341ED" w:rsidP="001341ED">
            <w:pPr>
              <w:pStyle w:val="TableText"/>
            </w:pPr>
            <w:r>
              <w:t>Description / deliverable</w:t>
            </w:r>
          </w:p>
        </w:tc>
      </w:tr>
      <w:tr w:rsidR="001341ED" w:rsidTr="001341ED">
        <w:trPr>
          <w:cantSplit/>
          <w:trHeight w:val="343"/>
        </w:trPr>
        <w:tc>
          <w:tcPr>
            <w:tcW w:w="2802" w:type="dxa"/>
          </w:tcPr>
          <w:p w:rsidR="001341ED" w:rsidRDefault="001341ED" w:rsidP="001341ED">
            <w:pPr>
              <w:pStyle w:val="TableText"/>
            </w:pPr>
            <w:r>
              <w:t>Data quality services</w:t>
            </w:r>
          </w:p>
        </w:tc>
        <w:tc>
          <w:tcPr>
            <w:tcW w:w="6378" w:type="dxa"/>
          </w:tcPr>
          <w:p w:rsidR="001341ED" w:rsidRDefault="001341ED" w:rsidP="001341ED">
            <w:pPr>
              <w:pStyle w:val="TableText"/>
              <w:numPr>
                <w:ilvl w:val="0"/>
                <w:numId w:val="23"/>
              </w:numPr>
            </w:pPr>
            <w:r>
              <w:t>Capability for exception based monitoring of data quality, and solution with ownership to remediate</w:t>
            </w:r>
          </w:p>
          <w:p w:rsidR="00CF67E4" w:rsidRDefault="00CF67E4" w:rsidP="00CF67E4">
            <w:pPr>
              <w:pStyle w:val="TableText"/>
              <w:numPr>
                <w:ilvl w:val="0"/>
                <w:numId w:val="23"/>
              </w:numPr>
            </w:pPr>
            <w:r>
              <w:t>Consider requirements for and solution around culture of data literacy</w:t>
            </w:r>
          </w:p>
        </w:tc>
      </w:tr>
      <w:tr w:rsidR="001341ED" w:rsidTr="001341ED">
        <w:trPr>
          <w:cantSplit/>
          <w:trHeight w:val="343"/>
        </w:trPr>
        <w:tc>
          <w:tcPr>
            <w:tcW w:w="2802" w:type="dxa"/>
          </w:tcPr>
          <w:p w:rsidR="001341ED" w:rsidRPr="002F6482" w:rsidRDefault="001341ED" w:rsidP="001341ED">
            <w:pPr>
              <w:pStyle w:val="TableText"/>
            </w:pPr>
            <w:r>
              <w:t>ETL engine</w:t>
            </w:r>
          </w:p>
        </w:tc>
        <w:tc>
          <w:tcPr>
            <w:tcW w:w="6378" w:type="dxa"/>
          </w:tcPr>
          <w:p w:rsidR="001341ED" w:rsidRDefault="001341ED" w:rsidP="005748BB">
            <w:pPr>
              <w:pStyle w:val="TableText"/>
              <w:numPr>
                <w:ilvl w:val="0"/>
                <w:numId w:val="23"/>
              </w:numPr>
            </w:pPr>
            <w:r>
              <w:t>Extract, transform and load engine</w:t>
            </w:r>
            <w:r w:rsidR="005748BB">
              <w:t>, which may include managed file transfer service (with scheduling and workflow) as well as abstraction, configuration and control layer</w:t>
            </w:r>
          </w:p>
        </w:tc>
      </w:tr>
      <w:tr w:rsidR="001341ED" w:rsidTr="001341ED">
        <w:trPr>
          <w:cantSplit/>
          <w:trHeight w:val="343"/>
        </w:trPr>
        <w:tc>
          <w:tcPr>
            <w:tcW w:w="2802" w:type="dxa"/>
          </w:tcPr>
          <w:p w:rsidR="001341ED" w:rsidRDefault="001341ED" w:rsidP="001341ED">
            <w:pPr>
              <w:pStyle w:val="TableText"/>
            </w:pPr>
            <w:r>
              <w:t>Rules and definitions engine</w:t>
            </w:r>
          </w:p>
        </w:tc>
        <w:tc>
          <w:tcPr>
            <w:tcW w:w="6378" w:type="dxa"/>
          </w:tcPr>
          <w:p w:rsidR="001341ED" w:rsidRDefault="00E83642" w:rsidP="0004321E">
            <w:pPr>
              <w:pStyle w:val="TableText"/>
              <w:numPr>
                <w:ilvl w:val="0"/>
                <w:numId w:val="23"/>
              </w:numPr>
            </w:pPr>
            <w:r>
              <w:t xml:space="preserve">Exposed rules </w:t>
            </w:r>
            <w:r w:rsidR="0004321E">
              <w:t>/ definitions engine, with reports able to see definitions and rules, and view who is the business owner for the data.</w:t>
            </w:r>
          </w:p>
          <w:p w:rsidR="007C07D3" w:rsidRDefault="007C07D3" w:rsidP="0004321E">
            <w:pPr>
              <w:pStyle w:val="TableText"/>
              <w:numPr>
                <w:ilvl w:val="0"/>
                <w:numId w:val="23"/>
              </w:numPr>
            </w:pPr>
            <w:r>
              <w:t>Consider a subscribe model where usage of data is tracked and impact of changes can be traced</w:t>
            </w:r>
          </w:p>
        </w:tc>
      </w:tr>
      <w:tr w:rsidR="001341ED" w:rsidTr="001341ED">
        <w:trPr>
          <w:cantSplit/>
          <w:trHeight w:val="343"/>
        </w:trPr>
        <w:tc>
          <w:tcPr>
            <w:tcW w:w="2802" w:type="dxa"/>
          </w:tcPr>
          <w:p w:rsidR="001341ED" w:rsidRDefault="001341ED" w:rsidP="001341ED">
            <w:pPr>
              <w:pStyle w:val="TableText"/>
            </w:pPr>
            <w:r>
              <w:t>Data storage platform</w:t>
            </w:r>
          </w:p>
        </w:tc>
        <w:tc>
          <w:tcPr>
            <w:tcW w:w="6378" w:type="dxa"/>
          </w:tcPr>
          <w:p w:rsidR="001341ED" w:rsidRDefault="0004321E" w:rsidP="0004321E">
            <w:pPr>
              <w:pStyle w:val="TableText"/>
              <w:numPr>
                <w:ilvl w:val="0"/>
                <w:numId w:val="23"/>
              </w:numPr>
            </w:pPr>
            <w:r>
              <w:t>Database platform solution which factors in cost, performance and storage size</w:t>
            </w:r>
          </w:p>
        </w:tc>
      </w:tr>
      <w:tr w:rsidR="00E315A1" w:rsidTr="001341ED">
        <w:trPr>
          <w:cantSplit/>
          <w:trHeight w:val="343"/>
        </w:trPr>
        <w:tc>
          <w:tcPr>
            <w:tcW w:w="2802" w:type="dxa"/>
          </w:tcPr>
          <w:p w:rsidR="00E315A1" w:rsidRDefault="00E315A1" w:rsidP="001341ED">
            <w:pPr>
              <w:pStyle w:val="TableText"/>
            </w:pPr>
            <w:r w:rsidRPr="00E315A1">
              <w:t>Data warehouse / data lake platform</w:t>
            </w:r>
          </w:p>
        </w:tc>
        <w:tc>
          <w:tcPr>
            <w:tcW w:w="6378" w:type="dxa"/>
          </w:tcPr>
          <w:p w:rsidR="00E315A1" w:rsidRDefault="00E315A1" w:rsidP="00E315A1">
            <w:pPr>
              <w:pStyle w:val="TableText"/>
              <w:numPr>
                <w:ilvl w:val="0"/>
                <w:numId w:val="23"/>
              </w:numPr>
            </w:pPr>
            <w:r w:rsidRPr="00E315A1">
              <w:t>Some form of analytical data store in a relational data warehouse structured format or a low-latency NoSQL technology, or a database that provides a metadata abstraction over data files in a distributed data store.</w:t>
            </w:r>
          </w:p>
        </w:tc>
      </w:tr>
      <w:tr w:rsidR="001341ED" w:rsidTr="001341ED">
        <w:trPr>
          <w:cantSplit/>
          <w:trHeight w:val="343"/>
        </w:trPr>
        <w:tc>
          <w:tcPr>
            <w:tcW w:w="2802" w:type="dxa"/>
          </w:tcPr>
          <w:p w:rsidR="001341ED" w:rsidRDefault="001341ED" w:rsidP="001341ED">
            <w:pPr>
              <w:pStyle w:val="TableText"/>
            </w:pPr>
            <w:r>
              <w:t>Support / services construct</w:t>
            </w:r>
          </w:p>
        </w:tc>
        <w:tc>
          <w:tcPr>
            <w:tcW w:w="6378" w:type="dxa"/>
          </w:tcPr>
          <w:p w:rsidR="001341ED" w:rsidRDefault="0004321E" w:rsidP="001341ED">
            <w:pPr>
              <w:pStyle w:val="TableText"/>
              <w:numPr>
                <w:ilvl w:val="0"/>
                <w:numId w:val="23"/>
              </w:numPr>
            </w:pPr>
            <w:r>
              <w:t>Right-sized support capability which aligns to stakeholder needs at a manageable cost</w:t>
            </w:r>
          </w:p>
        </w:tc>
      </w:tr>
      <w:tr w:rsidR="001341ED" w:rsidTr="001341ED">
        <w:trPr>
          <w:cantSplit/>
          <w:trHeight w:val="343"/>
        </w:trPr>
        <w:tc>
          <w:tcPr>
            <w:tcW w:w="2802" w:type="dxa"/>
          </w:tcPr>
          <w:p w:rsidR="001341ED" w:rsidRDefault="001341ED" w:rsidP="001341ED">
            <w:pPr>
              <w:pStyle w:val="TableText"/>
            </w:pPr>
            <w:r>
              <w:t>Reports portal</w:t>
            </w:r>
          </w:p>
        </w:tc>
        <w:tc>
          <w:tcPr>
            <w:tcW w:w="6378" w:type="dxa"/>
          </w:tcPr>
          <w:p w:rsidR="001341ED" w:rsidRDefault="0004321E" w:rsidP="001341ED">
            <w:pPr>
              <w:pStyle w:val="TableText"/>
              <w:numPr>
                <w:ilvl w:val="0"/>
                <w:numId w:val="23"/>
              </w:numPr>
            </w:pPr>
            <w:r>
              <w:t>Front-end portal for viewing and basic manipulation / drill-down of reports</w:t>
            </w:r>
          </w:p>
        </w:tc>
      </w:tr>
    </w:tbl>
    <w:p w:rsidR="00ED370D" w:rsidRDefault="00ED370D" w:rsidP="00ED370D"/>
    <w:p w:rsidR="00ED370D" w:rsidRDefault="00975698" w:rsidP="00975698">
      <w:pPr>
        <w:pStyle w:val="Heading2"/>
      </w:pPr>
      <w:r>
        <w:t>Enhanced capability elements</w:t>
      </w:r>
    </w:p>
    <w:p w:rsidR="00975698" w:rsidRDefault="00975698" w:rsidP="00975698">
      <w:r>
        <w:t>These components deliver the full value of the solution through advanced integration and consumption through other platforms, and value-add visualisation and analysis.</w:t>
      </w:r>
    </w:p>
    <w:tbl>
      <w:tblPr>
        <w:tblStyle w:val="TableGrid"/>
        <w:tblW w:w="9180" w:type="dxa"/>
        <w:tblBorders>
          <w:top w:val="single" w:sz="4" w:space="0" w:color="6D658A" w:themeColor="accent2"/>
          <w:left w:val="single" w:sz="4" w:space="0" w:color="6D658A" w:themeColor="accent2"/>
          <w:bottom w:val="single" w:sz="4" w:space="0" w:color="6D658A" w:themeColor="accent2"/>
          <w:right w:val="single" w:sz="4" w:space="0" w:color="6D658A" w:themeColor="accent2"/>
          <w:insideH w:val="single" w:sz="4" w:space="0" w:color="6D658A" w:themeColor="accent2"/>
          <w:insideV w:val="single" w:sz="4" w:space="0" w:color="6D658A" w:themeColor="accent2"/>
        </w:tblBorders>
        <w:tblLook w:val="04A0" w:firstRow="1" w:lastRow="0" w:firstColumn="1" w:lastColumn="0" w:noHBand="0" w:noVBand="1"/>
      </w:tblPr>
      <w:tblGrid>
        <w:gridCol w:w="2802"/>
        <w:gridCol w:w="6378"/>
      </w:tblGrid>
      <w:tr w:rsidR="00975698" w:rsidTr="00CC1E74">
        <w:trPr>
          <w:cantSplit/>
          <w:trHeight w:val="337"/>
          <w:tblHeader/>
        </w:trPr>
        <w:tc>
          <w:tcPr>
            <w:tcW w:w="2802" w:type="dxa"/>
            <w:shd w:val="clear" w:color="auto" w:fill="E3E2F5" w:themeFill="accent4"/>
          </w:tcPr>
          <w:p w:rsidR="00975698" w:rsidRDefault="00975698" w:rsidP="00CC1E74">
            <w:pPr>
              <w:pStyle w:val="TableText"/>
            </w:pPr>
            <w:r>
              <w:t>Element / component</w:t>
            </w:r>
          </w:p>
        </w:tc>
        <w:tc>
          <w:tcPr>
            <w:tcW w:w="6378" w:type="dxa"/>
            <w:shd w:val="clear" w:color="auto" w:fill="E3E2F5" w:themeFill="accent4"/>
          </w:tcPr>
          <w:p w:rsidR="00975698" w:rsidRDefault="00975698" w:rsidP="00CC1E74">
            <w:pPr>
              <w:pStyle w:val="TableText"/>
            </w:pPr>
            <w:r>
              <w:t>Description / deliverable</w:t>
            </w:r>
          </w:p>
        </w:tc>
      </w:tr>
      <w:tr w:rsidR="00975698" w:rsidTr="00CC1E74">
        <w:trPr>
          <w:cantSplit/>
          <w:trHeight w:val="343"/>
        </w:trPr>
        <w:tc>
          <w:tcPr>
            <w:tcW w:w="2802" w:type="dxa"/>
          </w:tcPr>
          <w:p w:rsidR="00975698" w:rsidRDefault="00975698" w:rsidP="00CC1E74">
            <w:pPr>
              <w:pStyle w:val="TableText"/>
            </w:pPr>
            <w:r>
              <w:t>Dashboards</w:t>
            </w:r>
          </w:p>
        </w:tc>
        <w:tc>
          <w:tcPr>
            <w:tcW w:w="6378" w:type="dxa"/>
          </w:tcPr>
          <w:p w:rsidR="00975698" w:rsidRDefault="00CF67E4" w:rsidP="00CF67E4">
            <w:pPr>
              <w:pStyle w:val="TableText"/>
              <w:numPr>
                <w:ilvl w:val="0"/>
                <w:numId w:val="23"/>
              </w:numPr>
            </w:pPr>
            <w:r>
              <w:t>Adaptive and simple visual display mechanism with drill-down for stakeholders</w:t>
            </w:r>
          </w:p>
        </w:tc>
      </w:tr>
      <w:tr w:rsidR="00975698" w:rsidTr="00CC1E74">
        <w:trPr>
          <w:cantSplit/>
          <w:trHeight w:val="343"/>
        </w:trPr>
        <w:tc>
          <w:tcPr>
            <w:tcW w:w="2802" w:type="dxa"/>
          </w:tcPr>
          <w:p w:rsidR="00975698" w:rsidRDefault="00975698" w:rsidP="00CC1E74">
            <w:pPr>
              <w:pStyle w:val="TableText"/>
            </w:pPr>
            <w:r>
              <w:t>Machine learning / AI</w:t>
            </w:r>
          </w:p>
        </w:tc>
        <w:tc>
          <w:tcPr>
            <w:tcW w:w="6378" w:type="dxa"/>
          </w:tcPr>
          <w:p w:rsidR="00975698" w:rsidRDefault="00CF67E4" w:rsidP="00CF67E4">
            <w:pPr>
              <w:pStyle w:val="TableText"/>
              <w:numPr>
                <w:ilvl w:val="0"/>
                <w:numId w:val="23"/>
              </w:numPr>
            </w:pPr>
            <w:r>
              <w:t>Intelligent analytics and trending capability with anomaly identification</w:t>
            </w:r>
          </w:p>
        </w:tc>
      </w:tr>
      <w:tr w:rsidR="00975698" w:rsidTr="00CC1E74">
        <w:trPr>
          <w:cantSplit/>
          <w:trHeight w:val="343"/>
        </w:trPr>
        <w:tc>
          <w:tcPr>
            <w:tcW w:w="2802" w:type="dxa"/>
          </w:tcPr>
          <w:p w:rsidR="00975698" w:rsidRDefault="00975698" w:rsidP="00CC1E74">
            <w:pPr>
              <w:pStyle w:val="TableText"/>
            </w:pPr>
            <w:r>
              <w:t>Self-service analytics</w:t>
            </w:r>
          </w:p>
        </w:tc>
        <w:tc>
          <w:tcPr>
            <w:tcW w:w="6378" w:type="dxa"/>
          </w:tcPr>
          <w:p w:rsidR="00975698" w:rsidRDefault="00CF67E4" w:rsidP="00CF67E4">
            <w:pPr>
              <w:pStyle w:val="TableText"/>
              <w:numPr>
                <w:ilvl w:val="0"/>
                <w:numId w:val="23"/>
              </w:numPr>
            </w:pPr>
            <w:r>
              <w:t>Ability for a broad set of data analysts to create reports and obtain value in a safe, reliable sustainable manner</w:t>
            </w:r>
          </w:p>
        </w:tc>
      </w:tr>
      <w:tr w:rsidR="00975698" w:rsidTr="00CC1E74">
        <w:trPr>
          <w:cantSplit/>
          <w:trHeight w:val="343"/>
        </w:trPr>
        <w:tc>
          <w:tcPr>
            <w:tcW w:w="2802" w:type="dxa"/>
          </w:tcPr>
          <w:p w:rsidR="00975698" w:rsidRDefault="00975698" w:rsidP="00CC1E74">
            <w:pPr>
              <w:pStyle w:val="TableText"/>
            </w:pPr>
            <w:r>
              <w:t>API’s</w:t>
            </w:r>
          </w:p>
        </w:tc>
        <w:tc>
          <w:tcPr>
            <w:tcW w:w="6378" w:type="dxa"/>
          </w:tcPr>
          <w:p w:rsidR="00975698" w:rsidRDefault="0099239B" w:rsidP="0099239B">
            <w:pPr>
              <w:pStyle w:val="TableText"/>
              <w:numPr>
                <w:ilvl w:val="0"/>
                <w:numId w:val="23"/>
              </w:numPr>
            </w:pPr>
            <w:r>
              <w:t>Interfaces to allow data input, manipulation and insight consumption from other applications and integration engines.</w:t>
            </w:r>
          </w:p>
        </w:tc>
      </w:tr>
      <w:tr w:rsidR="00975698" w:rsidTr="00CC1E74">
        <w:trPr>
          <w:cantSplit/>
          <w:trHeight w:val="343"/>
        </w:trPr>
        <w:tc>
          <w:tcPr>
            <w:tcW w:w="2802" w:type="dxa"/>
          </w:tcPr>
          <w:p w:rsidR="00975698" w:rsidRDefault="00975698" w:rsidP="00CC1E74">
            <w:pPr>
              <w:pStyle w:val="TableText"/>
            </w:pPr>
            <w:r>
              <w:lastRenderedPageBreak/>
              <w:t>Operational data stores</w:t>
            </w:r>
          </w:p>
        </w:tc>
        <w:tc>
          <w:tcPr>
            <w:tcW w:w="6378" w:type="dxa"/>
          </w:tcPr>
          <w:p w:rsidR="00975698" w:rsidRDefault="0099239B" w:rsidP="0099239B">
            <w:pPr>
              <w:pStyle w:val="TableText"/>
              <w:numPr>
                <w:ilvl w:val="0"/>
                <w:numId w:val="23"/>
              </w:numPr>
            </w:pPr>
            <w:r>
              <w:t xml:space="preserve">These provide near-real-time analysis of operational data and the ability to (together with other elements) deliver up to date insights at the point of care. </w:t>
            </w:r>
          </w:p>
        </w:tc>
      </w:tr>
      <w:tr w:rsidR="00737A29" w:rsidTr="00CC1E74">
        <w:trPr>
          <w:cantSplit/>
          <w:trHeight w:val="343"/>
        </w:trPr>
        <w:tc>
          <w:tcPr>
            <w:tcW w:w="2802" w:type="dxa"/>
          </w:tcPr>
          <w:p w:rsidR="00737A29" w:rsidRDefault="00E315A1" w:rsidP="00CC1E74">
            <w:pPr>
              <w:pStyle w:val="TableText"/>
            </w:pPr>
            <w:r w:rsidRPr="00E315A1">
              <w:t>Predictive analytics / modelling</w:t>
            </w:r>
          </w:p>
        </w:tc>
        <w:tc>
          <w:tcPr>
            <w:tcW w:w="6378" w:type="dxa"/>
          </w:tcPr>
          <w:p w:rsidR="00737A29" w:rsidRDefault="00E315A1" w:rsidP="00E315A1">
            <w:pPr>
              <w:pStyle w:val="TableText"/>
              <w:numPr>
                <w:ilvl w:val="0"/>
                <w:numId w:val="23"/>
              </w:numPr>
            </w:pPr>
            <w:r w:rsidRPr="00E315A1">
              <w:t>Modelling for ‘what-if’ analysis and prediction on future state</w:t>
            </w:r>
          </w:p>
        </w:tc>
      </w:tr>
    </w:tbl>
    <w:p w:rsidR="00975698" w:rsidRDefault="00975698" w:rsidP="00975698"/>
    <w:p w:rsidR="00975698" w:rsidRDefault="00975698" w:rsidP="00975698"/>
    <w:p w:rsidR="00975698" w:rsidRDefault="00975698" w:rsidP="00975698"/>
    <w:p w:rsidR="00975698" w:rsidRPr="00975698" w:rsidRDefault="00975698" w:rsidP="00975698">
      <w:pPr>
        <w:sectPr w:rsidR="00975698" w:rsidRPr="00975698" w:rsidSect="007C1E79">
          <w:headerReference w:type="default" r:id="rId12"/>
          <w:footerReference w:type="default" r:id="rId13"/>
          <w:footerReference w:type="first" r:id="rId14"/>
          <w:type w:val="oddPage"/>
          <w:pgSz w:w="11906" w:h="16838"/>
          <w:pgMar w:top="1985" w:right="1416" w:bottom="1440" w:left="1440" w:header="708" w:footer="708" w:gutter="0"/>
          <w:cols w:space="708"/>
          <w:docGrid w:linePitch="360"/>
        </w:sectPr>
      </w:pPr>
    </w:p>
    <w:p w:rsidR="002A0173" w:rsidRDefault="002A0173" w:rsidP="002A0173">
      <w:pPr>
        <w:pStyle w:val="Heading1"/>
      </w:pPr>
      <w:r>
        <w:lastRenderedPageBreak/>
        <w:t>Appendix</w:t>
      </w:r>
    </w:p>
    <w:p w:rsidR="002A0173" w:rsidRDefault="002A0173" w:rsidP="00086ED1">
      <w:pPr>
        <w:pStyle w:val="Heading3"/>
      </w:pPr>
      <w:proofErr w:type="gramStart"/>
      <w:r>
        <w:t>healthAlliance</w:t>
      </w:r>
      <w:proofErr w:type="gramEnd"/>
      <w:r>
        <w:t xml:space="preserve"> content</w:t>
      </w:r>
      <w:r w:rsidR="00086ED1">
        <w:t xml:space="preserve"> - </w:t>
      </w:r>
      <w:r w:rsidR="00086ED1" w:rsidRPr="00086ED1">
        <w:t>Northern Region</w:t>
      </w:r>
      <w:r w:rsidR="00086ED1">
        <w:t xml:space="preserve"> </w:t>
      </w:r>
      <w:r w:rsidR="00086ED1" w:rsidRPr="00086ED1">
        <w:t>Data Strategy and Roadmap Definition</w:t>
      </w:r>
      <w:r w:rsidR="00086ED1">
        <w:t xml:space="preserve"> v07 </w:t>
      </w:r>
      <w:r w:rsidR="00086ED1" w:rsidRPr="00086ED1">
        <w:t>06-08-2018</w:t>
      </w:r>
      <w:r w:rsidR="00B56D5E">
        <w:t>:</w:t>
      </w:r>
      <w:r w:rsidR="00086ED1">
        <w:t xml:space="preserve"> page 18</w:t>
      </w:r>
    </w:p>
    <w:p w:rsidR="00086ED1" w:rsidRDefault="00086ED1" w:rsidP="002A0173">
      <w:r>
        <w:rPr>
          <w:noProof/>
        </w:rPr>
        <w:drawing>
          <wp:inline distT="0" distB="0" distL="0" distR="0" wp14:anchorId="5F28E7D1" wp14:editId="3F522DC5">
            <wp:extent cx="8123530" cy="4651068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131096" cy="465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D5E" w:rsidRDefault="00B56D5E" w:rsidP="00B56D5E">
      <w:pPr>
        <w:pStyle w:val="Heading3"/>
      </w:pPr>
      <w:bookmarkStart w:id="3" w:name="_Ref3453686"/>
      <w:proofErr w:type="gramStart"/>
      <w:r>
        <w:lastRenderedPageBreak/>
        <w:t>healthAlliance</w:t>
      </w:r>
      <w:proofErr w:type="gramEnd"/>
      <w:r>
        <w:t xml:space="preserve"> content – </w:t>
      </w:r>
      <w:r w:rsidRPr="00B56D5E">
        <w:t>ISSP</w:t>
      </w:r>
      <w:r>
        <w:t xml:space="preserve"> </w:t>
      </w:r>
      <w:r w:rsidRPr="00B56D5E">
        <w:t>Data Management Capability (DMC)</w:t>
      </w:r>
      <w:r>
        <w:t xml:space="preserve"> </w:t>
      </w:r>
      <w:r w:rsidRPr="00B56D5E">
        <w:t>Implementation Pack</w:t>
      </w:r>
      <w:r>
        <w:t>: page22</w:t>
      </w:r>
      <w:bookmarkEnd w:id="3"/>
    </w:p>
    <w:p w:rsidR="00B56D5E" w:rsidRDefault="00B56D5E" w:rsidP="00B56D5E">
      <w:r>
        <w:rPr>
          <w:noProof/>
        </w:rPr>
        <w:drawing>
          <wp:inline distT="0" distB="0" distL="0" distR="0" wp14:anchorId="387D2E39" wp14:editId="32ED81D7">
            <wp:extent cx="6994525" cy="470906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94525" cy="470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B0A" w:rsidRDefault="005E7B0A" w:rsidP="005E7B0A">
      <w:pPr>
        <w:pStyle w:val="Heading3"/>
      </w:pPr>
      <w:bookmarkStart w:id="4" w:name="_GoBack"/>
      <w:bookmarkEnd w:id="4"/>
      <w:proofErr w:type="gramStart"/>
      <w:r>
        <w:lastRenderedPageBreak/>
        <w:t>healthAlliance</w:t>
      </w:r>
      <w:proofErr w:type="gramEnd"/>
      <w:r>
        <w:t xml:space="preserve"> content – </w:t>
      </w:r>
      <w:r w:rsidRPr="00B56D5E">
        <w:t>ISSP</w:t>
      </w:r>
      <w:r>
        <w:t xml:space="preserve"> </w:t>
      </w:r>
      <w:r w:rsidRPr="00B56D5E">
        <w:t>Data Management Capability (DMC)</w:t>
      </w:r>
      <w:r>
        <w:t xml:space="preserve"> </w:t>
      </w:r>
      <w:r w:rsidRPr="00B56D5E">
        <w:t>Implementation Pack</w:t>
      </w:r>
      <w:r>
        <w:t>: Page11</w:t>
      </w:r>
      <w:r w:rsidR="0003564F">
        <w:t>7</w:t>
      </w:r>
    </w:p>
    <w:p w:rsidR="005E7B0A" w:rsidRPr="005E7B0A" w:rsidRDefault="0003564F" w:rsidP="005E7B0A">
      <w:r>
        <w:rPr>
          <w:noProof/>
        </w:rPr>
        <w:drawing>
          <wp:inline distT="0" distB="0" distL="0" distR="0" wp14:anchorId="7566AD52" wp14:editId="42C019BF">
            <wp:extent cx="8183217" cy="4886325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183217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7B0A" w:rsidRPr="005E7B0A" w:rsidSect="00086ED1">
      <w:type w:val="oddPage"/>
      <w:pgSz w:w="16838" w:h="11906" w:orient="landscape"/>
      <w:pgMar w:top="1440" w:right="1985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7E4" w:rsidRDefault="00CF67E4" w:rsidP="00A51944">
      <w:pPr>
        <w:spacing w:before="0" w:after="0"/>
      </w:pPr>
      <w:r>
        <w:separator/>
      </w:r>
    </w:p>
  </w:endnote>
  <w:endnote w:type="continuationSeparator" w:id="0">
    <w:p w:rsidR="00CF67E4" w:rsidRDefault="00CF67E4" w:rsidP="00A5194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E4" w:rsidRDefault="00E315A1" w:rsidP="00345EF2">
    <w:pPr>
      <w:pStyle w:val="Footer"/>
      <w:tabs>
        <w:tab w:val="clear" w:pos="4513"/>
        <w:tab w:val="clear" w:pos="9026"/>
      </w:tabs>
    </w:pPr>
    <w:sdt>
      <w:sdtPr>
        <w:alias w:val="Title"/>
        <w:tag w:val=""/>
        <w:id w:val="-40676279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F67E4">
          <w:t xml:space="preserve">     </w:t>
        </w:r>
      </w:sdtContent>
    </w:sdt>
    <w:r w:rsidR="00CF67E4">
      <w:t xml:space="preserve">:  </w:t>
    </w:r>
    <w:sdt>
      <w:sdtPr>
        <w:id w:val="-18867936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alias w:val="Subject"/>
            <w:tag w:val=""/>
            <w:id w:val="-856197276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CF67E4">
              <w:t xml:space="preserve">     </w:t>
            </w:r>
          </w:sdtContent>
        </w:sdt>
        <w:r w:rsidR="00CF67E4">
          <w:t xml:space="preserve"> </w:t>
        </w:r>
      </w:sdtContent>
    </w:sdt>
  </w:p>
  <w:p w:rsidR="00CF67E4" w:rsidRDefault="00CF67E4" w:rsidP="00345EF2">
    <w:pPr>
      <w:pStyle w:val="Footer"/>
      <w:tabs>
        <w:tab w:val="clear" w:pos="4513"/>
        <w:tab w:val="clear" w:pos="9026"/>
      </w:tabs>
    </w:pPr>
    <w:r>
      <w:t xml:space="preserve">Version: </w:t>
    </w:r>
    <w:sdt>
      <w:sdtPr>
        <w:alias w:val="Version"/>
        <w:tag w:val=""/>
        <w:id w:val="-1886089962"/>
        <w:dataBinding w:prefixMappings="xmlns:ns0='http://schemas.microsoft.com/office/2006/coverPageProps' " w:xpath="/ns0:CoverPageProperties[1]/ns0:CompanyFax[1]" w:storeItemID="{55AF091B-3C7A-41E3-B477-F2FDAA23CFDA}"/>
        <w:text/>
      </w:sdtPr>
      <w:sdtEndPr/>
      <w:sdtContent>
        <w:r>
          <w:t>v0.3</w:t>
        </w:r>
      </w:sdtContent>
    </w:sdt>
    <w:r>
      <w:ptab w:relativeTo="margin" w:alignment="center" w:leader="none"/>
    </w:r>
    <w:sdt>
      <w:sdtPr>
        <w:alias w:val="Category"/>
        <w:tag w:val=""/>
        <w:id w:val="-425495914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>
          <w:t>Unclassified</w:t>
        </w:r>
      </w:sdtContent>
    </w:sdt>
    <w:r>
      <w:ptab w:relativeTo="margin" w:alignment="right" w:leader="none"/>
    </w:r>
    <w:r>
      <w:t xml:space="preserve">| </w:t>
    </w:r>
    <w:r w:rsidRPr="005A43E0">
      <w:rPr>
        <w:rStyle w:val="PageNumber"/>
      </w:rPr>
      <w:fldChar w:fldCharType="begin"/>
    </w:r>
    <w:r w:rsidRPr="005A43E0">
      <w:rPr>
        <w:rStyle w:val="PageNumber"/>
      </w:rPr>
      <w:instrText xml:space="preserve"> PAGE   \* MERGEFORMAT </w:instrText>
    </w:r>
    <w:r w:rsidRPr="005A43E0">
      <w:rPr>
        <w:rStyle w:val="PageNumber"/>
      </w:rPr>
      <w:fldChar w:fldCharType="separate"/>
    </w:r>
    <w:r w:rsidR="00E315A1">
      <w:rPr>
        <w:rStyle w:val="PageNumber"/>
        <w:noProof/>
      </w:rPr>
      <w:t>9</w:t>
    </w:r>
    <w:r w:rsidRPr="005A43E0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E4" w:rsidRDefault="00E315A1" w:rsidP="00A13E06">
    <w:pPr>
      <w:pStyle w:val="Footer"/>
      <w:jc w:val="right"/>
    </w:pPr>
    <w:sdt>
      <w:sdtPr>
        <w:alias w:val="Title"/>
        <w:tag w:val=""/>
        <w:id w:val="1166587749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F67E4">
          <w:t xml:space="preserve">     </w:t>
        </w:r>
      </w:sdtContent>
    </w:sdt>
    <w:r w:rsidR="00CF67E4">
      <w:t xml:space="preserve">:  </w:t>
    </w:r>
    <w:sdt>
      <w:sdtPr>
        <w:id w:val="16922579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alias w:val="Subject"/>
            <w:tag w:val=""/>
            <w:id w:val="-1023090434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r w:rsidR="00CF67E4">
              <w:t xml:space="preserve">     </w:t>
            </w:r>
          </w:sdtContent>
        </w:sdt>
        <w:r w:rsidR="00CF67E4">
          <w:t xml:space="preserve"> | </w:t>
        </w:r>
        <w:r w:rsidR="00CF67E4" w:rsidRPr="005A43E0">
          <w:rPr>
            <w:rStyle w:val="PageNumber"/>
          </w:rPr>
          <w:fldChar w:fldCharType="begin"/>
        </w:r>
        <w:r w:rsidR="00CF67E4" w:rsidRPr="005A43E0">
          <w:rPr>
            <w:rStyle w:val="PageNumber"/>
          </w:rPr>
          <w:instrText xml:space="preserve"> PAGE   \* MERGEFORMAT </w:instrText>
        </w:r>
        <w:r w:rsidR="00CF67E4" w:rsidRPr="005A43E0">
          <w:rPr>
            <w:rStyle w:val="PageNumber"/>
          </w:rPr>
          <w:fldChar w:fldCharType="separate"/>
        </w:r>
        <w:r w:rsidR="00CF67E4">
          <w:rPr>
            <w:rStyle w:val="PageNumber"/>
            <w:noProof/>
          </w:rPr>
          <w:t>5</w:t>
        </w:r>
        <w:r w:rsidR="00CF67E4" w:rsidRPr="005A43E0">
          <w:rPr>
            <w:rStyle w:val="PageNumber"/>
          </w:rPr>
          <w:fldChar w:fldCharType="end"/>
        </w:r>
      </w:sdtContent>
    </w:sdt>
  </w:p>
  <w:p w:rsidR="00CF67E4" w:rsidRDefault="00CF6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7E4" w:rsidRDefault="00CF67E4" w:rsidP="00A51944">
      <w:pPr>
        <w:spacing w:before="0" w:after="0"/>
      </w:pPr>
      <w:r>
        <w:separator/>
      </w:r>
    </w:p>
  </w:footnote>
  <w:footnote w:type="continuationSeparator" w:id="0">
    <w:p w:rsidR="00CF67E4" w:rsidRDefault="00CF67E4" w:rsidP="00A5194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E4" w:rsidRPr="001221A5" w:rsidRDefault="00E315A1" w:rsidP="00964569">
    <w:pPr>
      <w:pStyle w:val="Header"/>
      <w:tabs>
        <w:tab w:val="clear" w:pos="4513"/>
        <w:tab w:val="clear" w:pos="9026"/>
      </w:tabs>
      <w:rPr>
        <w:color w:val="FF0000"/>
      </w:rPr>
    </w:pPr>
    <w:sdt>
      <w:sdtPr>
        <w:id w:val="-1115670760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3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F67E4">
      <w:rPr>
        <w:noProof/>
      </w:rPr>
      <w:drawing>
        <wp:anchor distT="0" distB="0" distL="114300" distR="114300" simplePos="0" relativeHeight="251657728" behindDoc="0" locked="0" layoutInCell="1" allowOverlap="1" wp14:anchorId="08BA0855" wp14:editId="63DE6A1C">
          <wp:simplePos x="0" y="0"/>
          <wp:positionH relativeFrom="leftMargin">
            <wp:posOffset>914400</wp:posOffset>
          </wp:positionH>
          <wp:positionV relativeFrom="paragraph">
            <wp:posOffset>93345</wp:posOffset>
          </wp:positionV>
          <wp:extent cx="1378800" cy="327600"/>
          <wp:effectExtent l="0" t="0" r="0" b="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dland DHBs Logo - No Banner 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800" cy="3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7E4">
      <w:rPr>
        <w:noProof/>
      </w:rPr>
      <w:drawing>
        <wp:anchor distT="0" distB="0" distL="114300" distR="114300" simplePos="0" relativeHeight="251656704" behindDoc="0" locked="0" layoutInCell="1" allowOverlap="1" wp14:anchorId="6699AE14" wp14:editId="30B82369">
          <wp:simplePos x="2018030" y="448310"/>
          <wp:positionH relativeFrom="rightMargin">
            <wp:posOffset>-864235</wp:posOffset>
          </wp:positionH>
          <wp:positionV relativeFrom="paragraph">
            <wp:posOffset>0</wp:posOffset>
          </wp:positionV>
          <wp:extent cx="846000" cy="392400"/>
          <wp:effectExtent l="0" t="0" r="0" b="8255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lthShare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C81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5BC8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BF46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546A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367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EE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A258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5698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24B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E042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A43325"/>
    <w:multiLevelType w:val="hybridMultilevel"/>
    <w:tmpl w:val="AE7449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9C926CA"/>
    <w:multiLevelType w:val="hybridMultilevel"/>
    <w:tmpl w:val="19CAB834"/>
    <w:lvl w:ilvl="0" w:tplc="39060A3C">
      <w:start w:val="1"/>
      <w:numFmt w:val="upperLetter"/>
      <w:pStyle w:val="Appendix1"/>
      <w:lvlText w:val="Appendix %1 - 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992E08"/>
    <w:multiLevelType w:val="hybridMultilevel"/>
    <w:tmpl w:val="2C122C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B4DEC"/>
    <w:multiLevelType w:val="multilevel"/>
    <w:tmpl w:val="65B088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55FB4BD8"/>
    <w:multiLevelType w:val="hybridMultilevel"/>
    <w:tmpl w:val="BD48E36A"/>
    <w:lvl w:ilvl="0" w:tplc="9544C1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C42EF"/>
    <w:multiLevelType w:val="hybridMultilevel"/>
    <w:tmpl w:val="284094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335F65"/>
    <w:multiLevelType w:val="hybridMultilevel"/>
    <w:tmpl w:val="C566965E"/>
    <w:lvl w:ilvl="0" w:tplc="34FE44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8F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69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CD7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329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9A6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A6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6823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1642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34C1703"/>
    <w:multiLevelType w:val="hybridMultilevel"/>
    <w:tmpl w:val="0D5601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061629"/>
    <w:multiLevelType w:val="hybridMultilevel"/>
    <w:tmpl w:val="8E7223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86947"/>
    <w:multiLevelType w:val="hybridMultilevel"/>
    <w:tmpl w:val="2AE031E0"/>
    <w:lvl w:ilvl="0" w:tplc="3DEA9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913333"/>
    <w:multiLevelType w:val="hybridMultilevel"/>
    <w:tmpl w:val="379CC05A"/>
    <w:lvl w:ilvl="0" w:tplc="D3920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EA5576"/>
    <w:multiLevelType w:val="hybridMultilevel"/>
    <w:tmpl w:val="AFCA6D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21"/>
  </w:num>
  <w:num w:numId="14">
    <w:abstractNumId w:val="15"/>
  </w:num>
  <w:num w:numId="15">
    <w:abstractNumId w:val="18"/>
  </w:num>
  <w:num w:numId="16">
    <w:abstractNumId w:val="17"/>
  </w:num>
  <w:num w:numId="17">
    <w:abstractNumId w:val="1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20"/>
  </w:num>
  <w:num w:numId="21">
    <w:abstractNumId w:val="14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8B5"/>
    <w:rsid w:val="00001329"/>
    <w:rsid w:val="000075FD"/>
    <w:rsid w:val="00013D72"/>
    <w:rsid w:val="00017643"/>
    <w:rsid w:val="00023CD5"/>
    <w:rsid w:val="0003564F"/>
    <w:rsid w:val="0004321E"/>
    <w:rsid w:val="0006743B"/>
    <w:rsid w:val="00086ED1"/>
    <w:rsid w:val="000B41EC"/>
    <w:rsid w:val="000F3066"/>
    <w:rsid w:val="000F3F52"/>
    <w:rsid w:val="00101F86"/>
    <w:rsid w:val="00114A55"/>
    <w:rsid w:val="00120131"/>
    <w:rsid w:val="001221A5"/>
    <w:rsid w:val="001341ED"/>
    <w:rsid w:val="00140181"/>
    <w:rsid w:val="001523E7"/>
    <w:rsid w:val="001527CC"/>
    <w:rsid w:val="00193B85"/>
    <w:rsid w:val="001A2A0E"/>
    <w:rsid w:val="001A33F3"/>
    <w:rsid w:val="001B5ACB"/>
    <w:rsid w:val="001C166F"/>
    <w:rsid w:val="001D0AE2"/>
    <w:rsid w:val="001F62AB"/>
    <w:rsid w:val="00201808"/>
    <w:rsid w:val="00213A19"/>
    <w:rsid w:val="00215840"/>
    <w:rsid w:val="00242729"/>
    <w:rsid w:val="0024564E"/>
    <w:rsid w:val="0025124B"/>
    <w:rsid w:val="00264ABA"/>
    <w:rsid w:val="00272547"/>
    <w:rsid w:val="002A0173"/>
    <w:rsid w:val="002C246E"/>
    <w:rsid w:val="002D1476"/>
    <w:rsid w:val="002E6929"/>
    <w:rsid w:val="002F6482"/>
    <w:rsid w:val="002F710D"/>
    <w:rsid w:val="003116F6"/>
    <w:rsid w:val="00311813"/>
    <w:rsid w:val="00313822"/>
    <w:rsid w:val="00321117"/>
    <w:rsid w:val="003212A5"/>
    <w:rsid w:val="00323FCA"/>
    <w:rsid w:val="003279EF"/>
    <w:rsid w:val="00335320"/>
    <w:rsid w:val="00335E57"/>
    <w:rsid w:val="0033701D"/>
    <w:rsid w:val="003414EB"/>
    <w:rsid w:val="00345EF2"/>
    <w:rsid w:val="00346600"/>
    <w:rsid w:val="003503D1"/>
    <w:rsid w:val="00357A26"/>
    <w:rsid w:val="0039127C"/>
    <w:rsid w:val="003A3DE4"/>
    <w:rsid w:val="003B2050"/>
    <w:rsid w:val="003B22C9"/>
    <w:rsid w:val="003B68D7"/>
    <w:rsid w:val="003B7601"/>
    <w:rsid w:val="003B7997"/>
    <w:rsid w:val="003D04D2"/>
    <w:rsid w:val="003E23D6"/>
    <w:rsid w:val="003E4B6A"/>
    <w:rsid w:val="003F1CA8"/>
    <w:rsid w:val="00404C45"/>
    <w:rsid w:val="004214A0"/>
    <w:rsid w:val="00424B03"/>
    <w:rsid w:val="0043756D"/>
    <w:rsid w:val="00451E8B"/>
    <w:rsid w:val="0047195C"/>
    <w:rsid w:val="0049247E"/>
    <w:rsid w:val="004924AD"/>
    <w:rsid w:val="00494E81"/>
    <w:rsid w:val="004A12F9"/>
    <w:rsid w:val="004A2957"/>
    <w:rsid w:val="004A4A98"/>
    <w:rsid w:val="004A63DE"/>
    <w:rsid w:val="004B429B"/>
    <w:rsid w:val="004B5733"/>
    <w:rsid w:val="00506FFF"/>
    <w:rsid w:val="00527D05"/>
    <w:rsid w:val="0053693B"/>
    <w:rsid w:val="005439BC"/>
    <w:rsid w:val="005549BD"/>
    <w:rsid w:val="0055701B"/>
    <w:rsid w:val="0056406A"/>
    <w:rsid w:val="005748BB"/>
    <w:rsid w:val="00584639"/>
    <w:rsid w:val="0059356A"/>
    <w:rsid w:val="00596DCA"/>
    <w:rsid w:val="005A43E0"/>
    <w:rsid w:val="005C458E"/>
    <w:rsid w:val="005E7999"/>
    <w:rsid w:val="005E7B0A"/>
    <w:rsid w:val="0061193A"/>
    <w:rsid w:val="006363B6"/>
    <w:rsid w:val="00642E63"/>
    <w:rsid w:val="006431CF"/>
    <w:rsid w:val="00650F82"/>
    <w:rsid w:val="00666D58"/>
    <w:rsid w:val="00694497"/>
    <w:rsid w:val="006B43AE"/>
    <w:rsid w:val="006C1325"/>
    <w:rsid w:val="006C232B"/>
    <w:rsid w:val="006E0418"/>
    <w:rsid w:val="006E5EB0"/>
    <w:rsid w:val="006F44ED"/>
    <w:rsid w:val="00703A18"/>
    <w:rsid w:val="0071161F"/>
    <w:rsid w:val="007162FB"/>
    <w:rsid w:val="00727F35"/>
    <w:rsid w:val="00737A29"/>
    <w:rsid w:val="00741406"/>
    <w:rsid w:val="00756510"/>
    <w:rsid w:val="007806A8"/>
    <w:rsid w:val="007825E3"/>
    <w:rsid w:val="007A18D4"/>
    <w:rsid w:val="007A3903"/>
    <w:rsid w:val="007B2F34"/>
    <w:rsid w:val="007C07D3"/>
    <w:rsid w:val="007C1E79"/>
    <w:rsid w:val="007C296D"/>
    <w:rsid w:val="007D0A75"/>
    <w:rsid w:val="007D1C2B"/>
    <w:rsid w:val="007D1C6B"/>
    <w:rsid w:val="007D7FA0"/>
    <w:rsid w:val="007E3BD4"/>
    <w:rsid w:val="007F1855"/>
    <w:rsid w:val="008116DB"/>
    <w:rsid w:val="00816543"/>
    <w:rsid w:val="008167F5"/>
    <w:rsid w:val="0082158E"/>
    <w:rsid w:val="00821AA8"/>
    <w:rsid w:val="00822B55"/>
    <w:rsid w:val="00833C7B"/>
    <w:rsid w:val="008344DD"/>
    <w:rsid w:val="008456ED"/>
    <w:rsid w:val="00845CA5"/>
    <w:rsid w:val="00864CDF"/>
    <w:rsid w:val="00867F75"/>
    <w:rsid w:val="008720D9"/>
    <w:rsid w:val="00892F59"/>
    <w:rsid w:val="008B0FCB"/>
    <w:rsid w:val="008C2A72"/>
    <w:rsid w:val="008C5B13"/>
    <w:rsid w:val="008C7CD2"/>
    <w:rsid w:val="008D39E8"/>
    <w:rsid w:val="008D7652"/>
    <w:rsid w:val="008F1EF5"/>
    <w:rsid w:val="008F4BA6"/>
    <w:rsid w:val="0090086E"/>
    <w:rsid w:val="00903FED"/>
    <w:rsid w:val="00904A4E"/>
    <w:rsid w:val="0091197B"/>
    <w:rsid w:val="00935A45"/>
    <w:rsid w:val="009375D8"/>
    <w:rsid w:val="00964569"/>
    <w:rsid w:val="00971FB2"/>
    <w:rsid w:val="00975698"/>
    <w:rsid w:val="00980949"/>
    <w:rsid w:val="009906A3"/>
    <w:rsid w:val="00990D41"/>
    <w:rsid w:val="0099239B"/>
    <w:rsid w:val="00997B1B"/>
    <w:rsid w:val="009A1FFB"/>
    <w:rsid w:val="009B421D"/>
    <w:rsid w:val="009C13E1"/>
    <w:rsid w:val="009D513D"/>
    <w:rsid w:val="009E4DB0"/>
    <w:rsid w:val="009E6443"/>
    <w:rsid w:val="009F4842"/>
    <w:rsid w:val="00A045D2"/>
    <w:rsid w:val="00A0533D"/>
    <w:rsid w:val="00A0780A"/>
    <w:rsid w:val="00A13E06"/>
    <w:rsid w:val="00A36D3C"/>
    <w:rsid w:val="00A442CF"/>
    <w:rsid w:val="00A51944"/>
    <w:rsid w:val="00A52624"/>
    <w:rsid w:val="00A60C82"/>
    <w:rsid w:val="00A72E54"/>
    <w:rsid w:val="00A91D52"/>
    <w:rsid w:val="00A954FB"/>
    <w:rsid w:val="00AA351C"/>
    <w:rsid w:val="00AA6776"/>
    <w:rsid w:val="00AB310D"/>
    <w:rsid w:val="00AC1064"/>
    <w:rsid w:val="00AE7C26"/>
    <w:rsid w:val="00AF5342"/>
    <w:rsid w:val="00B02BBA"/>
    <w:rsid w:val="00B03A0B"/>
    <w:rsid w:val="00B16ACD"/>
    <w:rsid w:val="00B27AD4"/>
    <w:rsid w:val="00B310CA"/>
    <w:rsid w:val="00B479B9"/>
    <w:rsid w:val="00B55BF9"/>
    <w:rsid w:val="00B56D5E"/>
    <w:rsid w:val="00B61355"/>
    <w:rsid w:val="00B6235B"/>
    <w:rsid w:val="00B74790"/>
    <w:rsid w:val="00B82BFD"/>
    <w:rsid w:val="00BB1C1C"/>
    <w:rsid w:val="00BD5899"/>
    <w:rsid w:val="00BF2D17"/>
    <w:rsid w:val="00BF43FF"/>
    <w:rsid w:val="00BF5258"/>
    <w:rsid w:val="00C163B1"/>
    <w:rsid w:val="00C25AFE"/>
    <w:rsid w:val="00C54B7B"/>
    <w:rsid w:val="00C802E1"/>
    <w:rsid w:val="00C80A12"/>
    <w:rsid w:val="00C9248E"/>
    <w:rsid w:val="00C93D17"/>
    <w:rsid w:val="00CA2500"/>
    <w:rsid w:val="00CA3AC9"/>
    <w:rsid w:val="00CC08B5"/>
    <w:rsid w:val="00CC1E74"/>
    <w:rsid w:val="00CD51FD"/>
    <w:rsid w:val="00CF67E4"/>
    <w:rsid w:val="00D0663F"/>
    <w:rsid w:val="00D1014E"/>
    <w:rsid w:val="00D10E4E"/>
    <w:rsid w:val="00D22B92"/>
    <w:rsid w:val="00D30BA5"/>
    <w:rsid w:val="00D47AA9"/>
    <w:rsid w:val="00D51054"/>
    <w:rsid w:val="00D55911"/>
    <w:rsid w:val="00D77554"/>
    <w:rsid w:val="00DA7D65"/>
    <w:rsid w:val="00DC2DDA"/>
    <w:rsid w:val="00DD5BE0"/>
    <w:rsid w:val="00E01566"/>
    <w:rsid w:val="00E01D5B"/>
    <w:rsid w:val="00E022A3"/>
    <w:rsid w:val="00E16FC6"/>
    <w:rsid w:val="00E27FC5"/>
    <w:rsid w:val="00E315A1"/>
    <w:rsid w:val="00E413AE"/>
    <w:rsid w:val="00E46F5E"/>
    <w:rsid w:val="00E5179F"/>
    <w:rsid w:val="00E6618B"/>
    <w:rsid w:val="00E72411"/>
    <w:rsid w:val="00E749E7"/>
    <w:rsid w:val="00E76520"/>
    <w:rsid w:val="00E83642"/>
    <w:rsid w:val="00EA070D"/>
    <w:rsid w:val="00EB18E9"/>
    <w:rsid w:val="00EB617C"/>
    <w:rsid w:val="00EC5EAD"/>
    <w:rsid w:val="00ED370D"/>
    <w:rsid w:val="00EE2DB9"/>
    <w:rsid w:val="00EE3EFA"/>
    <w:rsid w:val="00EF1F67"/>
    <w:rsid w:val="00F03830"/>
    <w:rsid w:val="00F2155E"/>
    <w:rsid w:val="00F40E28"/>
    <w:rsid w:val="00F41D69"/>
    <w:rsid w:val="00F45525"/>
    <w:rsid w:val="00F52FC0"/>
    <w:rsid w:val="00F53277"/>
    <w:rsid w:val="00F578D7"/>
    <w:rsid w:val="00F708C3"/>
    <w:rsid w:val="00F71690"/>
    <w:rsid w:val="00F74965"/>
    <w:rsid w:val="00F9188A"/>
    <w:rsid w:val="00F96E9D"/>
    <w:rsid w:val="00FB3C8B"/>
    <w:rsid w:val="00FD14AB"/>
    <w:rsid w:val="00FD156E"/>
    <w:rsid w:val="00FE46D4"/>
    <w:rsid w:val="00F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qFormat/>
    <w:rsid w:val="007D0A75"/>
    <w:pPr>
      <w:spacing w:before="120" w:after="12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75FD"/>
    <w:pPr>
      <w:keepNext/>
      <w:keepLines/>
      <w:numPr>
        <w:numId w:val="11"/>
      </w:numPr>
      <w:spacing w:before="480" w:after="60"/>
      <w:ind w:left="567" w:hanging="567"/>
      <w:outlineLvl w:val="0"/>
    </w:pPr>
    <w:rPr>
      <w:rFonts w:asciiTheme="majorHAnsi" w:eastAsiaTheme="majorEastAsia" w:hAnsiTheme="majorHAnsi" w:cstheme="majorBidi"/>
      <w:bCs/>
      <w:color w:val="261970" w:themeColor="text2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64E"/>
    <w:pPr>
      <w:keepNext/>
      <w:keepLines/>
      <w:numPr>
        <w:ilvl w:val="1"/>
        <w:numId w:val="11"/>
      </w:numPr>
      <w:spacing w:before="240" w:after="60"/>
      <w:outlineLvl w:val="1"/>
    </w:pPr>
    <w:rPr>
      <w:rFonts w:asciiTheme="majorHAnsi" w:eastAsiaTheme="majorEastAsia" w:hAnsiTheme="majorHAnsi" w:cstheme="majorBidi"/>
      <w:bCs/>
      <w:color w:val="261970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64E"/>
    <w:pPr>
      <w:keepNext/>
      <w:keepLines/>
      <w:numPr>
        <w:ilvl w:val="2"/>
        <w:numId w:val="11"/>
      </w:numPr>
      <w:spacing w:before="240" w:after="60"/>
      <w:outlineLvl w:val="2"/>
    </w:pPr>
    <w:rPr>
      <w:rFonts w:eastAsiaTheme="majorEastAsia" w:cstheme="majorBidi"/>
      <w:bCs/>
      <w:color w:val="261970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64E"/>
    <w:pPr>
      <w:keepNext/>
      <w:keepLines/>
      <w:numPr>
        <w:ilvl w:val="3"/>
        <w:numId w:val="11"/>
      </w:numPr>
      <w:spacing w:before="240" w:after="60"/>
      <w:outlineLvl w:val="3"/>
    </w:pPr>
    <w:rPr>
      <w:rFonts w:eastAsiaTheme="majorEastAsia" w:cstheme="majorBidi"/>
      <w:bCs/>
      <w:iCs/>
      <w:color w:val="261970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B92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6D658A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B92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D658A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B92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D658A" w:themeColor="accen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B92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6D658A" w:themeColor="accen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B92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D658A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5FD"/>
    <w:rPr>
      <w:rFonts w:asciiTheme="majorHAnsi" w:eastAsiaTheme="majorEastAsia" w:hAnsiTheme="majorHAnsi" w:cstheme="majorBidi"/>
      <w:bCs/>
      <w:color w:val="261970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64E"/>
    <w:rPr>
      <w:rFonts w:asciiTheme="majorHAnsi" w:eastAsiaTheme="majorEastAsia" w:hAnsiTheme="majorHAnsi" w:cstheme="majorBidi"/>
      <w:bCs/>
      <w:color w:val="261970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64E"/>
    <w:rPr>
      <w:rFonts w:eastAsiaTheme="majorEastAsia" w:cstheme="majorBidi"/>
      <w:bCs/>
      <w:color w:val="261970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EE3EFA"/>
  </w:style>
  <w:style w:type="character" w:customStyle="1" w:styleId="BodyTextChar">
    <w:name w:val="Body Text Char"/>
    <w:basedOn w:val="DefaultParagraphFont"/>
    <w:link w:val="BodyText"/>
    <w:uiPriority w:val="99"/>
    <w:rsid w:val="00EE3EFA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FD156E"/>
    <w:pPr>
      <w:spacing w:after="240"/>
      <w:contextualSpacing/>
    </w:pPr>
    <w:rPr>
      <w:rFonts w:asciiTheme="majorHAnsi" w:eastAsiaTheme="majorEastAsia" w:hAnsiTheme="majorHAnsi" w:cstheme="majorBidi"/>
      <w:color w:val="1C125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156E"/>
    <w:rPr>
      <w:rFonts w:asciiTheme="majorHAnsi" w:eastAsiaTheme="majorEastAsia" w:hAnsiTheme="majorHAnsi" w:cstheme="majorBidi"/>
      <w:color w:val="1C125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56E"/>
    <w:pPr>
      <w:numPr>
        <w:ilvl w:val="1"/>
      </w:numPr>
      <w:spacing w:before="240" w:after="60"/>
    </w:pPr>
    <w:rPr>
      <w:rFonts w:eastAsiaTheme="majorEastAsia" w:cstheme="majorBidi"/>
      <w:iCs/>
      <w:color w:val="261970" w:themeColor="text2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156E"/>
    <w:rPr>
      <w:rFonts w:eastAsiaTheme="majorEastAsia" w:cstheme="majorBidi"/>
      <w:iCs/>
      <w:color w:val="261970" w:themeColor="text2"/>
      <w:spacing w:val="15"/>
      <w:sz w:val="32"/>
      <w:szCs w:val="24"/>
    </w:rPr>
  </w:style>
  <w:style w:type="character" w:styleId="SubtleEmphasis">
    <w:name w:val="Subtle Emphasis"/>
    <w:basedOn w:val="DefaultParagraphFont"/>
    <w:uiPriority w:val="19"/>
    <w:qFormat/>
    <w:rsid w:val="00AC1064"/>
    <w:rPr>
      <w:rFonts w:ascii="Arial" w:hAnsi="Arial"/>
      <w:i/>
      <w:i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564E"/>
    <w:rPr>
      <w:rFonts w:eastAsiaTheme="majorEastAsia" w:cstheme="majorBidi"/>
      <w:bCs/>
      <w:iCs/>
      <w:color w:val="261970" w:themeColor="text2"/>
    </w:rPr>
  </w:style>
  <w:style w:type="paragraph" w:styleId="NoSpacing">
    <w:name w:val="No Spacing"/>
    <w:uiPriority w:val="1"/>
    <w:rsid w:val="00CA3AC9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7C"/>
    <w:pPr>
      <w:pBdr>
        <w:bottom w:val="single" w:sz="4" w:space="4" w:color="9EC54E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7C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617C"/>
    <w:rPr>
      <w:rFonts w:ascii="Arial" w:hAnsi="Arial"/>
      <w:smallCaps/>
      <w:color w:val="auto"/>
      <w:sz w:val="18"/>
      <w:u w:val="single"/>
    </w:rPr>
  </w:style>
  <w:style w:type="character" w:styleId="IntenseEmphasis">
    <w:name w:val="Intense Emphasis"/>
    <w:basedOn w:val="DefaultParagraphFont"/>
    <w:uiPriority w:val="21"/>
    <w:rsid w:val="00EB617C"/>
    <w:rPr>
      <w:rFonts w:ascii="Arial" w:hAnsi="Arial"/>
      <w:b/>
      <w:bCs/>
      <w:i/>
      <w:iCs/>
      <w:color w:val="9EC54E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B617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B617C"/>
    <w:rPr>
      <w:rFonts w:ascii="Arial" w:hAnsi="Arial"/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F52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C13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A75"/>
    <w:pPr>
      <w:spacing w:after="0"/>
    </w:pPr>
    <w:rPr>
      <w:rFonts w:ascii="Tahoma" w:hAnsi="Tahoma" w:cs="Tahoma"/>
      <w:color w:val="261970" w:themeColor="text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75"/>
    <w:rPr>
      <w:rFonts w:ascii="Tahoma" w:hAnsi="Tahoma" w:cs="Tahoma"/>
      <w:color w:val="261970" w:themeColor="text2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155E"/>
    <w:pPr>
      <w:tabs>
        <w:tab w:val="center" w:pos="4513"/>
        <w:tab w:val="right" w:pos="9026"/>
      </w:tabs>
      <w:spacing w:before="0" w:after="0"/>
    </w:pPr>
    <w:rPr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F2155E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71161F"/>
    <w:pPr>
      <w:tabs>
        <w:tab w:val="center" w:pos="4513"/>
        <w:tab w:val="right" w:pos="9026"/>
      </w:tabs>
      <w:spacing w:after="0"/>
    </w:pPr>
    <w:rPr>
      <w:color w:val="404040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1161F"/>
    <w:rPr>
      <w:color w:val="404040" w:themeColor="text1" w:themeTint="BF"/>
      <w:sz w:val="20"/>
    </w:rPr>
  </w:style>
  <w:style w:type="paragraph" w:styleId="TOAHeading">
    <w:name w:val="toa heading"/>
    <w:basedOn w:val="Normal"/>
    <w:next w:val="Normal"/>
    <w:uiPriority w:val="99"/>
    <w:unhideWhenUsed/>
    <w:rsid w:val="0024564E"/>
    <w:rPr>
      <w:rFonts w:asciiTheme="majorHAnsi" w:eastAsiaTheme="majorEastAsia" w:hAnsiTheme="majorHAnsi" w:cstheme="majorBidi"/>
      <w:bCs/>
      <w:color w:val="261970" w:themeColor="text2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B92"/>
    <w:rPr>
      <w:rFonts w:asciiTheme="majorHAnsi" w:eastAsiaTheme="majorEastAsia" w:hAnsiTheme="majorHAnsi" w:cstheme="majorBidi"/>
      <w:color w:val="6D658A" w:themeColor="accen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B92"/>
    <w:rPr>
      <w:rFonts w:asciiTheme="majorHAnsi" w:eastAsiaTheme="majorEastAsia" w:hAnsiTheme="majorHAnsi" w:cstheme="majorBidi"/>
      <w:i/>
      <w:iCs/>
      <w:color w:val="6D658A" w:themeColor="accen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B92"/>
    <w:rPr>
      <w:rFonts w:asciiTheme="majorHAnsi" w:eastAsiaTheme="majorEastAsia" w:hAnsiTheme="majorHAnsi" w:cstheme="majorBidi"/>
      <w:i/>
      <w:iCs/>
      <w:color w:val="6D658A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B92"/>
    <w:rPr>
      <w:rFonts w:asciiTheme="majorHAnsi" w:eastAsiaTheme="majorEastAsia" w:hAnsiTheme="majorHAnsi" w:cstheme="majorBidi"/>
      <w:color w:val="6D658A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B92"/>
    <w:rPr>
      <w:rFonts w:asciiTheme="majorHAnsi" w:eastAsiaTheme="majorEastAsia" w:hAnsiTheme="majorHAnsi" w:cstheme="majorBidi"/>
      <w:i/>
      <w:iCs/>
      <w:color w:val="6D658A" w:themeColor="accent2"/>
      <w:sz w:val="20"/>
      <w:szCs w:val="20"/>
    </w:rPr>
  </w:style>
  <w:style w:type="paragraph" w:customStyle="1" w:styleId="Appendices">
    <w:name w:val="Appendices"/>
    <w:basedOn w:val="Heading1"/>
    <w:next w:val="Normal"/>
    <w:rsid w:val="00EA070D"/>
    <w:pPr>
      <w:numPr>
        <w:numId w:val="0"/>
      </w:numPr>
    </w:pPr>
  </w:style>
  <w:style w:type="paragraph" w:customStyle="1" w:styleId="Appendix1">
    <w:name w:val="Appendix 1"/>
    <w:basedOn w:val="Heading2"/>
    <w:next w:val="Normal"/>
    <w:qFormat/>
    <w:rsid w:val="00A045D2"/>
    <w:pPr>
      <w:numPr>
        <w:ilvl w:val="0"/>
        <w:numId w:val="12"/>
      </w:numPr>
      <w:ind w:left="1560" w:hanging="1560"/>
    </w:pPr>
  </w:style>
  <w:style w:type="paragraph" w:customStyle="1" w:styleId="Appendix2">
    <w:name w:val="Appendix 2"/>
    <w:basedOn w:val="Heading3"/>
    <w:next w:val="Normal"/>
    <w:qFormat/>
    <w:rsid w:val="00EA070D"/>
    <w:pPr>
      <w:numPr>
        <w:ilvl w:val="0"/>
        <w:numId w:val="0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A045D2"/>
    <w:pPr>
      <w:tabs>
        <w:tab w:val="left" w:pos="440"/>
        <w:tab w:val="right" w:leader="dot" w:pos="9016"/>
      </w:tabs>
      <w:spacing w:after="100"/>
    </w:pPr>
    <w:rPr>
      <w:noProof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unhideWhenUsed/>
    <w:rsid w:val="001B5ACB"/>
    <w:pPr>
      <w:spacing w:after="100"/>
      <w:ind w:left="220"/>
    </w:pPr>
    <w:rPr>
      <w:color w:val="404040" w:themeColor="text1" w:themeTint="BF"/>
      <w:sz w:val="18"/>
    </w:rPr>
  </w:style>
  <w:style w:type="character" w:styleId="Hyperlink">
    <w:name w:val="Hyperlink"/>
    <w:basedOn w:val="DefaultParagraphFont"/>
    <w:uiPriority w:val="99"/>
    <w:unhideWhenUsed/>
    <w:rsid w:val="00D22B92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B5ACB"/>
    <w:pPr>
      <w:spacing w:after="100"/>
      <w:ind w:left="440"/>
    </w:pPr>
    <w:rPr>
      <w:color w:val="404040" w:themeColor="text1" w:themeTint="BF"/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B5ACB"/>
    <w:pPr>
      <w:spacing w:after="100"/>
      <w:ind w:left="660"/>
    </w:pPr>
    <w:rPr>
      <w:color w:val="404040" w:themeColor="text1" w:themeTint="BF"/>
      <w:sz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B5ACB"/>
    <w:pPr>
      <w:spacing w:after="100"/>
      <w:ind w:left="880"/>
    </w:pPr>
    <w:rPr>
      <w:color w:val="7F7F7F" w:themeColor="text1" w:themeTint="80"/>
      <w:sz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B5ACB"/>
    <w:pPr>
      <w:spacing w:after="100"/>
      <w:ind w:left="1100"/>
    </w:pPr>
    <w:rPr>
      <w:color w:val="7F7F7F" w:themeColor="text1" w:themeTint="80"/>
      <w:sz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B5ACB"/>
    <w:pPr>
      <w:spacing w:after="100"/>
      <w:ind w:left="1320"/>
    </w:pPr>
    <w:rPr>
      <w:color w:val="7F7F7F" w:themeColor="text1" w:themeTint="80"/>
      <w:sz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B5ACB"/>
    <w:pPr>
      <w:spacing w:after="100"/>
      <w:ind w:left="1540"/>
    </w:pPr>
    <w:rPr>
      <w:color w:val="7F7F7F" w:themeColor="text1" w:themeTint="80"/>
      <w:sz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B5ACB"/>
    <w:pPr>
      <w:spacing w:after="100"/>
      <w:ind w:left="1760"/>
    </w:pPr>
    <w:rPr>
      <w:color w:val="7F7F7F" w:themeColor="text1" w:themeTint="80"/>
      <w:sz w:val="18"/>
    </w:rPr>
  </w:style>
  <w:style w:type="character" w:styleId="PageNumber">
    <w:name w:val="page number"/>
    <w:basedOn w:val="FooterChar"/>
    <w:uiPriority w:val="99"/>
    <w:unhideWhenUsed/>
    <w:rsid w:val="005A43E0"/>
    <w:rPr>
      <w:rFonts w:asciiTheme="minorHAnsi" w:hAnsiTheme="minorHAnsi"/>
      <w:color w:val="261970" w:themeColor="text2"/>
      <w:sz w:val="24"/>
    </w:rPr>
  </w:style>
  <w:style w:type="paragraph" w:customStyle="1" w:styleId="Guidance">
    <w:name w:val="Guidance"/>
    <w:basedOn w:val="Normal"/>
    <w:next w:val="Normal"/>
    <w:link w:val="GuidanceChar"/>
    <w:qFormat/>
    <w:rsid w:val="00A72E54"/>
    <w:rPr>
      <w:i/>
      <w:color w:val="7F7F7F" w:themeColor="text1" w:themeTint="80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F2155E"/>
    <w:pPr>
      <w:pBdr>
        <w:top w:val="single" w:sz="2" w:space="10" w:color="9EC54E" w:themeColor="accent1" w:shadow="1"/>
        <w:left w:val="single" w:sz="2" w:space="10" w:color="9EC54E" w:themeColor="accent1" w:shadow="1"/>
        <w:bottom w:val="single" w:sz="2" w:space="10" w:color="9EC54E" w:themeColor="accent1" w:shadow="1"/>
        <w:right w:val="single" w:sz="2" w:space="10" w:color="9EC54E" w:themeColor="accent1" w:shadow="1"/>
      </w:pBdr>
      <w:ind w:left="1152" w:right="1152"/>
    </w:pPr>
    <w:rPr>
      <w:rFonts w:eastAsiaTheme="minorEastAsia"/>
      <w:i/>
      <w:iCs/>
      <w:color w:val="261970" w:themeColor="text2"/>
    </w:rPr>
  </w:style>
  <w:style w:type="character" w:customStyle="1" w:styleId="GuidanceChar">
    <w:name w:val="Guidance Char"/>
    <w:basedOn w:val="DefaultParagraphFont"/>
    <w:link w:val="Guidance"/>
    <w:rsid w:val="00A72E54"/>
    <w:rPr>
      <w:i/>
      <w:color w:val="7F7F7F" w:themeColor="text1" w:themeTint="80"/>
      <w:sz w:val="18"/>
      <w:szCs w:val="18"/>
    </w:rPr>
  </w:style>
  <w:style w:type="paragraph" w:styleId="TOCHeading">
    <w:name w:val="TOC Heading"/>
    <w:basedOn w:val="TOAHeading"/>
    <w:next w:val="Normal"/>
    <w:uiPriority w:val="39"/>
    <w:unhideWhenUsed/>
    <w:rsid w:val="00F2155E"/>
  </w:style>
  <w:style w:type="character" w:styleId="FootnoteReference">
    <w:name w:val="footnote reference"/>
    <w:basedOn w:val="DefaultParagraphFont"/>
    <w:uiPriority w:val="99"/>
    <w:semiHidden/>
    <w:unhideWhenUsed/>
    <w:rsid w:val="00F2155E"/>
    <w:rPr>
      <w:color w:val="404040" w:themeColor="text1" w:themeTint="BF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929"/>
    <w:pPr>
      <w:spacing w:before="0" w:after="0"/>
    </w:pPr>
    <w:rPr>
      <w:color w:val="404040" w:themeColor="text1" w:themeTint="BF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929"/>
    <w:rPr>
      <w:color w:val="404040" w:themeColor="text1" w:themeTint="BF"/>
      <w:sz w:val="16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0A75"/>
    <w:rPr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6A8"/>
    <w:pPr>
      <w:ind w:left="720"/>
      <w:contextualSpacing/>
    </w:pPr>
  </w:style>
  <w:style w:type="paragraph" w:customStyle="1" w:styleId="Example">
    <w:name w:val="Example"/>
    <w:basedOn w:val="Guidance"/>
    <w:next w:val="Normal"/>
    <w:link w:val="ExampleChar"/>
    <w:qFormat/>
    <w:rsid w:val="00CD51FD"/>
    <w:rPr>
      <w:i w:val="0"/>
      <w:sz w:val="22"/>
    </w:rPr>
  </w:style>
  <w:style w:type="character" w:customStyle="1" w:styleId="ExampleChar">
    <w:name w:val="Example Char"/>
    <w:basedOn w:val="DefaultParagraphFont"/>
    <w:link w:val="Example"/>
    <w:rsid w:val="00CD51FD"/>
    <w:rPr>
      <w:color w:val="7F7F7F" w:themeColor="text1" w:themeTint="80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3E4B6A"/>
    <w:pPr>
      <w:spacing w:before="0" w:after="200"/>
    </w:pPr>
    <w:rPr>
      <w:bCs/>
      <w:i/>
      <w:color w:val="auto"/>
      <w:sz w:val="18"/>
      <w:szCs w:val="18"/>
    </w:rPr>
  </w:style>
  <w:style w:type="paragraph" w:customStyle="1" w:styleId="TableText">
    <w:name w:val="Table Text"/>
    <w:basedOn w:val="Normal"/>
    <w:qFormat/>
    <w:rsid w:val="00964569"/>
    <w:pPr>
      <w:spacing w:before="60" w:after="60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3532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0173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qFormat/>
    <w:rsid w:val="007D0A75"/>
    <w:pPr>
      <w:spacing w:before="120" w:after="120" w:line="24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075FD"/>
    <w:pPr>
      <w:keepNext/>
      <w:keepLines/>
      <w:numPr>
        <w:numId w:val="11"/>
      </w:numPr>
      <w:spacing w:before="480" w:after="60"/>
      <w:ind w:left="567" w:hanging="567"/>
      <w:outlineLvl w:val="0"/>
    </w:pPr>
    <w:rPr>
      <w:rFonts w:asciiTheme="majorHAnsi" w:eastAsiaTheme="majorEastAsia" w:hAnsiTheme="majorHAnsi" w:cstheme="majorBidi"/>
      <w:bCs/>
      <w:color w:val="261970" w:themeColor="text2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564E"/>
    <w:pPr>
      <w:keepNext/>
      <w:keepLines/>
      <w:numPr>
        <w:ilvl w:val="1"/>
        <w:numId w:val="11"/>
      </w:numPr>
      <w:spacing w:before="240" w:after="60"/>
      <w:outlineLvl w:val="1"/>
    </w:pPr>
    <w:rPr>
      <w:rFonts w:asciiTheme="majorHAnsi" w:eastAsiaTheme="majorEastAsia" w:hAnsiTheme="majorHAnsi" w:cstheme="majorBidi"/>
      <w:bCs/>
      <w:color w:val="261970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564E"/>
    <w:pPr>
      <w:keepNext/>
      <w:keepLines/>
      <w:numPr>
        <w:ilvl w:val="2"/>
        <w:numId w:val="11"/>
      </w:numPr>
      <w:spacing w:before="240" w:after="60"/>
      <w:outlineLvl w:val="2"/>
    </w:pPr>
    <w:rPr>
      <w:rFonts w:eastAsiaTheme="majorEastAsia" w:cstheme="majorBidi"/>
      <w:bCs/>
      <w:color w:val="261970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564E"/>
    <w:pPr>
      <w:keepNext/>
      <w:keepLines/>
      <w:numPr>
        <w:ilvl w:val="3"/>
        <w:numId w:val="11"/>
      </w:numPr>
      <w:spacing w:before="240" w:after="60"/>
      <w:outlineLvl w:val="3"/>
    </w:pPr>
    <w:rPr>
      <w:rFonts w:eastAsiaTheme="majorEastAsia" w:cstheme="majorBidi"/>
      <w:bCs/>
      <w:iCs/>
      <w:color w:val="261970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2B92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6D658A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2B92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D658A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2B92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6D658A" w:themeColor="accen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2B92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6D658A" w:themeColor="accen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2B92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6D658A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75FD"/>
    <w:rPr>
      <w:rFonts w:asciiTheme="majorHAnsi" w:eastAsiaTheme="majorEastAsia" w:hAnsiTheme="majorHAnsi" w:cstheme="majorBidi"/>
      <w:bCs/>
      <w:color w:val="261970" w:themeColor="text2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4564E"/>
    <w:rPr>
      <w:rFonts w:asciiTheme="majorHAnsi" w:eastAsiaTheme="majorEastAsia" w:hAnsiTheme="majorHAnsi" w:cstheme="majorBidi"/>
      <w:bCs/>
      <w:color w:val="261970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564E"/>
    <w:rPr>
      <w:rFonts w:eastAsiaTheme="majorEastAsia" w:cstheme="majorBidi"/>
      <w:bCs/>
      <w:color w:val="261970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EE3EFA"/>
  </w:style>
  <w:style w:type="character" w:customStyle="1" w:styleId="BodyTextChar">
    <w:name w:val="Body Text Char"/>
    <w:basedOn w:val="DefaultParagraphFont"/>
    <w:link w:val="BodyText"/>
    <w:uiPriority w:val="99"/>
    <w:rsid w:val="00EE3EFA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FD156E"/>
    <w:pPr>
      <w:spacing w:after="240"/>
      <w:contextualSpacing/>
    </w:pPr>
    <w:rPr>
      <w:rFonts w:asciiTheme="majorHAnsi" w:eastAsiaTheme="majorEastAsia" w:hAnsiTheme="majorHAnsi" w:cstheme="majorBidi"/>
      <w:color w:val="1C125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156E"/>
    <w:rPr>
      <w:rFonts w:asciiTheme="majorHAnsi" w:eastAsiaTheme="majorEastAsia" w:hAnsiTheme="majorHAnsi" w:cstheme="majorBidi"/>
      <w:color w:val="1C1253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56E"/>
    <w:pPr>
      <w:numPr>
        <w:ilvl w:val="1"/>
      </w:numPr>
      <w:spacing w:before="240" w:after="60"/>
    </w:pPr>
    <w:rPr>
      <w:rFonts w:eastAsiaTheme="majorEastAsia" w:cstheme="majorBidi"/>
      <w:iCs/>
      <w:color w:val="261970" w:themeColor="text2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156E"/>
    <w:rPr>
      <w:rFonts w:eastAsiaTheme="majorEastAsia" w:cstheme="majorBidi"/>
      <w:iCs/>
      <w:color w:val="261970" w:themeColor="text2"/>
      <w:spacing w:val="15"/>
      <w:sz w:val="32"/>
      <w:szCs w:val="24"/>
    </w:rPr>
  </w:style>
  <w:style w:type="character" w:styleId="SubtleEmphasis">
    <w:name w:val="Subtle Emphasis"/>
    <w:basedOn w:val="DefaultParagraphFont"/>
    <w:uiPriority w:val="19"/>
    <w:qFormat/>
    <w:rsid w:val="00AC1064"/>
    <w:rPr>
      <w:rFonts w:ascii="Arial" w:hAnsi="Arial"/>
      <w:i/>
      <w:i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564E"/>
    <w:rPr>
      <w:rFonts w:eastAsiaTheme="majorEastAsia" w:cstheme="majorBidi"/>
      <w:bCs/>
      <w:iCs/>
      <w:color w:val="261970" w:themeColor="text2"/>
    </w:rPr>
  </w:style>
  <w:style w:type="paragraph" w:styleId="NoSpacing">
    <w:name w:val="No Spacing"/>
    <w:uiPriority w:val="1"/>
    <w:rsid w:val="00CA3AC9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7C"/>
    <w:pPr>
      <w:pBdr>
        <w:bottom w:val="single" w:sz="4" w:space="4" w:color="9EC54E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7C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617C"/>
    <w:rPr>
      <w:rFonts w:ascii="Arial" w:hAnsi="Arial"/>
      <w:smallCaps/>
      <w:color w:val="auto"/>
      <w:sz w:val="18"/>
      <w:u w:val="single"/>
    </w:rPr>
  </w:style>
  <w:style w:type="character" w:styleId="IntenseEmphasis">
    <w:name w:val="Intense Emphasis"/>
    <w:basedOn w:val="DefaultParagraphFont"/>
    <w:uiPriority w:val="21"/>
    <w:rsid w:val="00EB617C"/>
    <w:rPr>
      <w:rFonts w:ascii="Arial" w:hAnsi="Arial"/>
      <w:b/>
      <w:bCs/>
      <w:i/>
      <w:iCs/>
      <w:color w:val="9EC54E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B617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B617C"/>
    <w:rPr>
      <w:rFonts w:ascii="Arial" w:hAnsi="Arial"/>
      <w:i/>
      <w:iCs/>
      <w:color w:val="000000" w:themeColor="text1"/>
    </w:rPr>
  </w:style>
  <w:style w:type="table" w:styleId="TableGrid">
    <w:name w:val="Table Grid"/>
    <w:basedOn w:val="TableNormal"/>
    <w:uiPriority w:val="59"/>
    <w:rsid w:val="00F52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C13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A75"/>
    <w:pPr>
      <w:spacing w:after="0"/>
    </w:pPr>
    <w:rPr>
      <w:rFonts w:ascii="Tahoma" w:hAnsi="Tahoma" w:cs="Tahoma"/>
      <w:color w:val="261970" w:themeColor="text2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A75"/>
    <w:rPr>
      <w:rFonts w:ascii="Tahoma" w:hAnsi="Tahoma" w:cs="Tahoma"/>
      <w:color w:val="261970" w:themeColor="text2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155E"/>
    <w:pPr>
      <w:tabs>
        <w:tab w:val="center" w:pos="4513"/>
        <w:tab w:val="right" w:pos="9026"/>
      </w:tabs>
      <w:spacing w:before="0" w:after="0"/>
    </w:pPr>
    <w:rPr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F2155E"/>
    <w:rPr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71161F"/>
    <w:pPr>
      <w:tabs>
        <w:tab w:val="center" w:pos="4513"/>
        <w:tab w:val="right" w:pos="9026"/>
      </w:tabs>
      <w:spacing w:after="0"/>
    </w:pPr>
    <w:rPr>
      <w:color w:val="404040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1161F"/>
    <w:rPr>
      <w:color w:val="404040" w:themeColor="text1" w:themeTint="BF"/>
      <w:sz w:val="20"/>
    </w:rPr>
  </w:style>
  <w:style w:type="paragraph" w:styleId="TOAHeading">
    <w:name w:val="toa heading"/>
    <w:basedOn w:val="Normal"/>
    <w:next w:val="Normal"/>
    <w:uiPriority w:val="99"/>
    <w:unhideWhenUsed/>
    <w:rsid w:val="0024564E"/>
    <w:rPr>
      <w:rFonts w:asciiTheme="majorHAnsi" w:eastAsiaTheme="majorEastAsia" w:hAnsiTheme="majorHAnsi" w:cstheme="majorBidi"/>
      <w:bCs/>
      <w:color w:val="261970" w:themeColor="text2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2B92"/>
    <w:rPr>
      <w:rFonts w:asciiTheme="majorHAnsi" w:eastAsiaTheme="majorEastAsia" w:hAnsiTheme="majorHAnsi" w:cstheme="majorBidi"/>
      <w:color w:val="6D658A" w:themeColor="accen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2B92"/>
    <w:rPr>
      <w:rFonts w:asciiTheme="majorHAnsi" w:eastAsiaTheme="majorEastAsia" w:hAnsiTheme="majorHAnsi" w:cstheme="majorBidi"/>
      <w:i/>
      <w:iCs/>
      <w:color w:val="6D658A" w:themeColor="accen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2B92"/>
    <w:rPr>
      <w:rFonts w:asciiTheme="majorHAnsi" w:eastAsiaTheme="majorEastAsia" w:hAnsiTheme="majorHAnsi" w:cstheme="majorBidi"/>
      <w:i/>
      <w:iCs/>
      <w:color w:val="6D658A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2B92"/>
    <w:rPr>
      <w:rFonts w:asciiTheme="majorHAnsi" w:eastAsiaTheme="majorEastAsia" w:hAnsiTheme="majorHAnsi" w:cstheme="majorBidi"/>
      <w:color w:val="6D658A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2B92"/>
    <w:rPr>
      <w:rFonts w:asciiTheme="majorHAnsi" w:eastAsiaTheme="majorEastAsia" w:hAnsiTheme="majorHAnsi" w:cstheme="majorBidi"/>
      <w:i/>
      <w:iCs/>
      <w:color w:val="6D658A" w:themeColor="accent2"/>
      <w:sz w:val="20"/>
      <w:szCs w:val="20"/>
    </w:rPr>
  </w:style>
  <w:style w:type="paragraph" w:customStyle="1" w:styleId="Appendices">
    <w:name w:val="Appendices"/>
    <w:basedOn w:val="Heading1"/>
    <w:next w:val="Normal"/>
    <w:rsid w:val="00EA070D"/>
    <w:pPr>
      <w:numPr>
        <w:numId w:val="0"/>
      </w:numPr>
    </w:pPr>
  </w:style>
  <w:style w:type="paragraph" w:customStyle="1" w:styleId="Appendix1">
    <w:name w:val="Appendix 1"/>
    <w:basedOn w:val="Heading2"/>
    <w:next w:val="Normal"/>
    <w:qFormat/>
    <w:rsid w:val="00A045D2"/>
    <w:pPr>
      <w:numPr>
        <w:ilvl w:val="0"/>
        <w:numId w:val="12"/>
      </w:numPr>
      <w:ind w:left="1560" w:hanging="1560"/>
    </w:pPr>
  </w:style>
  <w:style w:type="paragraph" w:customStyle="1" w:styleId="Appendix2">
    <w:name w:val="Appendix 2"/>
    <w:basedOn w:val="Heading3"/>
    <w:next w:val="Normal"/>
    <w:qFormat/>
    <w:rsid w:val="00EA070D"/>
    <w:pPr>
      <w:numPr>
        <w:ilvl w:val="0"/>
        <w:numId w:val="0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A045D2"/>
    <w:pPr>
      <w:tabs>
        <w:tab w:val="left" w:pos="440"/>
        <w:tab w:val="right" w:leader="dot" w:pos="9016"/>
      </w:tabs>
      <w:spacing w:after="100"/>
    </w:pPr>
    <w:rPr>
      <w:noProof/>
      <w:color w:val="404040" w:themeColor="text1" w:themeTint="BF"/>
    </w:rPr>
  </w:style>
  <w:style w:type="paragraph" w:styleId="TOC2">
    <w:name w:val="toc 2"/>
    <w:basedOn w:val="Normal"/>
    <w:next w:val="Normal"/>
    <w:autoRedefine/>
    <w:uiPriority w:val="39"/>
    <w:unhideWhenUsed/>
    <w:rsid w:val="001B5ACB"/>
    <w:pPr>
      <w:spacing w:after="100"/>
      <w:ind w:left="220"/>
    </w:pPr>
    <w:rPr>
      <w:color w:val="404040" w:themeColor="text1" w:themeTint="BF"/>
      <w:sz w:val="18"/>
    </w:rPr>
  </w:style>
  <w:style w:type="character" w:styleId="Hyperlink">
    <w:name w:val="Hyperlink"/>
    <w:basedOn w:val="DefaultParagraphFont"/>
    <w:uiPriority w:val="99"/>
    <w:unhideWhenUsed/>
    <w:rsid w:val="00D22B92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1B5ACB"/>
    <w:pPr>
      <w:spacing w:after="100"/>
      <w:ind w:left="440"/>
    </w:pPr>
    <w:rPr>
      <w:color w:val="404040" w:themeColor="text1" w:themeTint="BF"/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B5ACB"/>
    <w:pPr>
      <w:spacing w:after="100"/>
      <w:ind w:left="660"/>
    </w:pPr>
    <w:rPr>
      <w:color w:val="404040" w:themeColor="text1" w:themeTint="BF"/>
      <w:sz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1B5ACB"/>
    <w:pPr>
      <w:spacing w:after="100"/>
      <w:ind w:left="880"/>
    </w:pPr>
    <w:rPr>
      <w:color w:val="7F7F7F" w:themeColor="text1" w:themeTint="80"/>
      <w:sz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1B5ACB"/>
    <w:pPr>
      <w:spacing w:after="100"/>
      <w:ind w:left="1100"/>
    </w:pPr>
    <w:rPr>
      <w:color w:val="7F7F7F" w:themeColor="text1" w:themeTint="80"/>
      <w:sz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1B5ACB"/>
    <w:pPr>
      <w:spacing w:after="100"/>
      <w:ind w:left="1320"/>
    </w:pPr>
    <w:rPr>
      <w:color w:val="7F7F7F" w:themeColor="text1" w:themeTint="80"/>
      <w:sz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1B5ACB"/>
    <w:pPr>
      <w:spacing w:after="100"/>
      <w:ind w:left="1540"/>
    </w:pPr>
    <w:rPr>
      <w:color w:val="7F7F7F" w:themeColor="text1" w:themeTint="80"/>
      <w:sz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B5ACB"/>
    <w:pPr>
      <w:spacing w:after="100"/>
      <w:ind w:left="1760"/>
    </w:pPr>
    <w:rPr>
      <w:color w:val="7F7F7F" w:themeColor="text1" w:themeTint="80"/>
      <w:sz w:val="18"/>
    </w:rPr>
  </w:style>
  <w:style w:type="character" w:styleId="PageNumber">
    <w:name w:val="page number"/>
    <w:basedOn w:val="FooterChar"/>
    <w:uiPriority w:val="99"/>
    <w:unhideWhenUsed/>
    <w:rsid w:val="005A43E0"/>
    <w:rPr>
      <w:rFonts w:asciiTheme="minorHAnsi" w:hAnsiTheme="minorHAnsi"/>
      <w:color w:val="261970" w:themeColor="text2"/>
      <w:sz w:val="24"/>
    </w:rPr>
  </w:style>
  <w:style w:type="paragraph" w:customStyle="1" w:styleId="Guidance">
    <w:name w:val="Guidance"/>
    <w:basedOn w:val="Normal"/>
    <w:next w:val="Normal"/>
    <w:link w:val="GuidanceChar"/>
    <w:qFormat/>
    <w:rsid w:val="00A72E54"/>
    <w:rPr>
      <w:i/>
      <w:color w:val="7F7F7F" w:themeColor="text1" w:themeTint="80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F2155E"/>
    <w:pPr>
      <w:pBdr>
        <w:top w:val="single" w:sz="2" w:space="10" w:color="9EC54E" w:themeColor="accent1" w:shadow="1"/>
        <w:left w:val="single" w:sz="2" w:space="10" w:color="9EC54E" w:themeColor="accent1" w:shadow="1"/>
        <w:bottom w:val="single" w:sz="2" w:space="10" w:color="9EC54E" w:themeColor="accent1" w:shadow="1"/>
        <w:right w:val="single" w:sz="2" w:space="10" w:color="9EC54E" w:themeColor="accent1" w:shadow="1"/>
      </w:pBdr>
      <w:ind w:left="1152" w:right="1152"/>
    </w:pPr>
    <w:rPr>
      <w:rFonts w:eastAsiaTheme="minorEastAsia"/>
      <w:i/>
      <w:iCs/>
      <w:color w:val="261970" w:themeColor="text2"/>
    </w:rPr>
  </w:style>
  <w:style w:type="character" w:customStyle="1" w:styleId="GuidanceChar">
    <w:name w:val="Guidance Char"/>
    <w:basedOn w:val="DefaultParagraphFont"/>
    <w:link w:val="Guidance"/>
    <w:rsid w:val="00A72E54"/>
    <w:rPr>
      <w:i/>
      <w:color w:val="7F7F7F" w:themeColor="text1" w:themeTint="80"/>
      <w:sz w:val="18"/>
      <w:szCs w:val="18"/>
    </w:rPr>
  </w:style>
  <w:style w:type="paragraph" w:styleId="TOCHeading">
    <w:name w:val="TOC Heading"/>
    <w:basedOn w:val="TOAHeading"/>
    <w:next w:val="Normal"/>
    <w:uiPriority w:val="39"/>
    <w:unhideWhenUsed/>
    <w:rsid w:val="00F2155E"/>
  </w:style>
  <w:style w:type="character" w:styleId="FootnoteReference">
    <w:name w:val="footnote reference"/>
    <w:basedOn w:val="DefaultParagraphFont"/>
    <w:uiPriority w:val="99"/>
    <w:semiHidden/>
    <w:unhideWhenUsed/>
    <w:rsid w:val="00F2155E"/>
    <w:rPr>
      <w:color w:val="404040" w:themeColor="text1" w:themeTint="BF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6929"/>
    <w:pPr>
      <w:spacing w:before="0" w:after="0"/>
    </w:pPr>
    <w:rPr>
      <w:color w:val="404040" w:themeColor="text1" w:themeTint="BF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929"/>
    <w:rPr>
      <w:color w:val="404040" w:themeColor="text1" w:themeTint="BF"/>
      <w:sz w:val="16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0A75"/>
    <w:rPr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06A8"/>
    <w:pPr>
      <w:ind w:left="720"/>
      <w:contextualSpacing/>
    </w:pPr>
  </w:style>
  <w:style w:type="paragraph" w:customStyle="1" w:styleId="Example">
    <w:name w:val="Example"/>
    <w:basedOn w:val="Guidance"/>
    <w:next w:val="Normal"/>
    <w:link w:val="ExampleChar"/>
    <w:qFormat/>
    <w:rsid w:val="00CD51FD"/>
    <w:rPr>
      <w:i w:val="0"/>
      <w:sz w:val="22"/>
    </w:rPr>
  </w:style>
  <w:style w:type="character" w:customStyle="1" w:styleId="ExampleChar">
    <w:name w:val="Example Char"/>
    <w:basedOn w:val="DefaultParagraphFont"/>
    <w:link w:val="Example"/>
    <w:rsid w:val="00CD51FD"/>
    <w:rPr>
      <w:color w:val="7F7F7F" w:themeColor="text1" w:themeTint="80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3E4B6A"/>
    <w:pPr>
      <w:spacing w:before="0" w:after="200"/>
    </w:pPr>
    <w:rPr>
      <w:bCs/>
      <w:i/>
      <w:color w:val="auto"/>
      <w:sz w:val="18"/>
      <w:szCs w:val="18"/>
    </w:rPr>
  </w:style>
  <w:style w:type="paragraph" w:customStyle="1" w:styleId="TableText">
    <w:name w:val="Table Text"/>
    <w:basedOn w:val="Normal"/>
    <w:qFormat/>
    <w:rsid w:val="00964569"/>
    <w:pPr>
      <w:spacing w:before="60" w:after="60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3532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A0173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microsoft.com/office/2007/relationships/stylesWithEffects" Target="stylesWithEffects.xml"/><Relationship Id="rId15" Type="http://schemas.openxmlformats.org/officeDocument/2006/relationships/image" Target="media/image5.png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HSL1">
  <a:themeElements>
    <a:clrScheme name="HSL1">
      <a:dk1>
        <a:srgbClr val="000000"/>
      </a:dk1>
      <a:lt1>
        <a:srgbClr val="FFFFFF"/>
      </a:lt1>
      <a:dk2>
        <a:srgbClr val="261970"/>
      </a:dk2>
      <a:lt2>
        <a:srgbClr val="FFFFFF"/>
      </a:lt2>
      <a:accent1>
        <a:srgbClr val="9EC54E"/>
      </a:accent1>
      <a:accent2>
        <a:srgbClr val="6D658A"/>
      </a:accent2>
      <a:accent3>
        <a:srgbClr val="B6AEC3"/>
      </a:accent3>
      <a:accent4>
        <a:srgbClr val="E3E2F5"/>
      </a:accent4>
      <a:accent5>
        <a:srgbClr val="2D3A12"/>
      </a:accent5>
      <a:accent6>
        <a:srgbClr val="9EC54E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v0.3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CB50AD-C18D-47FC-93B7-95443910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6CE2A310.dotm</Template>
  <TotalTime>359</TotalTime>
  <Pages>9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HealthShare Ltd</Company>
  <LinksUpToDate>false</LinksUpToDate>
  <CharactersWithSpaces>8505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Vink</dc:creator>
  <cp:lastModifiedBy>David Vink</cp:lastModifiedBy>
  <cp:revision>28</cp:revision>
  <dcterms:created xsi:type="dcterms:W3CDTF">2019-02-21T20:22:00Z</dcterms:created>
  <dcterms:modified xsi:type="dcterms:W3CDTF">2019-03-25T18:27:00Z</dcterms:modified>
  <cp:category>Unclassified</cp:category>
</cp:coreProperties>
</file>